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4FDCB4" w14:textId="77777777" w:rsidR="004D4FD0" w:rsidRPr="004D4FD0" w:rsidRDefault="004D4FD0" w:rsidP="004D4FD0">
      <w:pPr>
        <w:jc w:val="center"/>
        <w:rPr>
          <w:rFonts w:ascii="Avenir Next" w:hAnsi="Avenir Next"/>
          <w:b/>
          <w:sz w:val="24"/>
          <w:szCs w:val="24"/>
        </w:rPr>
      </w:pPr>
      <w:r w:rsidRPr="004D4FD0">
        <w:rPr>
          <w:rFonts w:ascii="Avenir Next" w:hAnsi="Avenir Next"/>
          <w:b/>
          <w:sz w:val="24"/>
          <w:szCs w:val="24"/>
        </w:rPr>
        <w:t>La ciencia al servicio del arte: observación de dos obras pictóricas en acuarela de Fausto Pacheco por medio de análisis múltiple</w:t>
      </w:r>
    </w:p>
    <w:p w14:paraId="64CF94F5" w14:textId="540F477F" w:rsidR="004D4FD0" w:rsidRPr="00454FAC" w:rsidRDefault="004D4FD0" w:rsidP="004D4FD0">
      <w:pPr>
        <w:jc w:val="both"/>
        <w:rPr>
          <w:rFonts w:ascii="Avenir Next" w:hAnsi="Avenir Next"/>
          <w:color w:val="1A1A1A"/>
          <w:sz w:val="24"/>
          <w:szCs w:val="24"/>
          <w:u w:val="single"/>
        </w:rPr>
      </w:pPr>
    </w:p>
    <w:p w14:paraId="6714B259" w14:textId="3B8942FC" w:rsidR="00443701" w:rsidRPr="00454FAC" w:rsidRDefault="004D4FD0" w:rsidP="004D4FD0">
      <w:pPr>
        <w:jc w:val="center"/>
        <w:rPr>
          <w:rFonts w:ascii="Avenir Next" w:hAnsi="Avenir Next"/>
          <w:b/>
          <w:bCs/>
          <w:szCs w:val="24"/>
          <w:lang w:val="en-US"/>
        </w:rPr>
      </w:pPr>
      <w:r w:rsidRPr="00454FAC">
        <w:rPr>
          <w:rFonts w:ascii="Avenir Next" w:hAnsi="Avenir Next"/>
          <w:b/>
          <w:bCs/>
          <w:szCs w:val="24"/>
          <w:lang w:val="en-US"/>
        </w:rPr>
        <w:t>Science in the service of art: observation of two watercolor pictorial works by Fausto Pacheco through multiple analysis</w:t>
      </w:r>
    </w:p>
    <w:p w14:paraId="311E035A" w14:textId="7C148CF7" w:rsidR="00675FD2" w:rsidRDefault="00675FD2">
      <w:pPr>
        <w:jc w:val="center"/>
        <w:rPr>
          <w:rFonts w:ascii="Avenir Next" w:hAnsi="Avenir Next"/>
          <w:b/>
          <w:bCs/>
          <w:lang w:val="en-US"/>
        </w:rPr>
      </w:pPr>
    </w:p>
    <w:p w14:paraId="73572DFE" w14:textId="77777777" w:rsidR="004D4FD0" w:rsidRPr="005220F7" w:rsidRDefault="004D4FD0" w:rsidP="004D4FD0">
      <w:pPr>
        <w:jc w:val="right"/>
        <w:rPr>
          <w:rFonts w:ascii="Avenir Next" w:hAnsi="Avenir Next"/>
          <w:sz w:val="24"/>
          <w:szCs w:val="24"/>
        </w:rPr>
      </w:pPr>
      <w:r w:rsidRPr="005220F7">
        <w:rPr>
          <w:rFonts w:ascii="Avenir Next" w:hAnsi="Avenir Next"/>
          <w:sz w:val="24"/>
          <w:szCs w:val="24"/>
        </w:rPr>
        <w:t>Melania C. Rivera-Romero</w:t>
      </w:r>
    </w:p>
    <w:p w14:paraId="728C5072" w14:textId="77777777" w:rsidR="004D4FD0" w:rsidRPr="005220F7" w:rsidRDefault="004D4FD0" w:rsidP="004D4FD0">
      <w:pPr>
        <w:jc w:val="right"/>
        <w:rPr>
          <w:rFonts w:ascii="Avenir Next" w:hAnsi="Avenir Next"/>
          <w:i/>
          <w:sz w:val="24"/>
          <w:szCs w:val="24"/>
        </w:rPr>
      </w:pPr>
      <w:r w:rsidRPr="005220F7">
        <w:rPr>
          <w:rFonts w:ascii="Avenir Next" w:hAnsi="Avenir Next"/>
          <w:i/>
          <w:sz w:val="24"/>
          <w:szCs w:val="24"/>
        </w:rPr>
        <w:t>Universidad de Costa Rica</w:t>
      </w:r>
      <w:r>
        <w:rPr>
          <w:rFonts w:ascii="Avenir Next" w:hAnsi="Avenir Next"/>
          <w:i/>
          <w:sz w:val="24"/>
          <w:szCs w:val="24"/>
        </w:rPr>
        <w:t xml:space="preserve">, </w:t>
      </w:r>
      <w:r w:rsidRPr="005220F7">
        <w:rPr>
          <w:rFonts w:ascii="Avenir Next" w:hAnsi="Avenir Next"/>
          <w:i/>
          <w:sz w:val="24"/>
          <w:szCs w:val="24"/>
        </w:rPr>
        <w:t xml:space="preserve">Escuela de Química, Escuela de Física, </w:t>
      </w:r>
      <w:r>
        <w:rPr>
          <w:rFonts w:ascii="Avenir Next" w:hAnsi="Avenir Next"/>
          <w:i/>
          <w:sz w:val="24"/>
          <w:szCs w:val="24"/>
        </w:rPr>
        <w:t>San José,</w:t>
      </w:r>
      <w:r w:rsidRPr="005220F7">
        <w:rPr>
          <w:rFonts w:ascii="Avenir Next" w:hAnsi="Avenir Next"/>
          <w:i/>
          <w:sz w:val="24"/>
          <w:szCs w:val="24"/>
        </w:rPr>
        <w:t xml:space="preserve"> Costa Rica </w:t>
      </w:r>
    </w:p>
    <w:p w14:paraId="0BF72A44" w14:textId="4147DAD3" w:rsidR="004D4FD0" w:rsidRPr="005220F7" w:rsidRDefault="005A389B" w:rsidP="004D4FD0">
      <w:pPr>
        <w:jc w:val="right"/>
        <w:rPr>
          <w:rFonts w:ascii="Avenir Next" w:hAnsi="Avenir Next"/>
          <w:color w:val="800080"/>
          <w:sz w:val="24"/>
          <w:szCs w:val="24"/>
          <w:u w:val="single"/>
        </w:rPr>
      </w:pPr>
      <w:hyperlink r:id="rId7">
        <w:r w:rsidR="004D4FD0" w:rsidRPr="005220F7">
          <w:rPr>
            <w:rFonts w:ascii="Avenir Next" w:hAnsi="Avenir Next"/>
            <w:color w:val="1155CC"/>
            <w:sz w:val="24"/>
            <w:szCs w:val="24"/>
            <w:u w:val="single"/>
          </w:rPr>
          <w:t>melania.riveraromero@ucr.ac.cr</w:t>
        </w:r>
      </w:hyperlink>
    </w:p>
    <w:p w14:paraId="241D2821" w14:textId="77777777" w:rsidR="004D4FD0" w:rsidRPr="005220F7" w:rsidRDefault="004D4FD0" w:rsidP="004D4FD0">
      <w:pPr>
        <w:jc w:val="right"/>
        <w:rPr>
          <w:rFonts w:ascii="Avenir Next" w:hAnsi="Avenir Next"/>
          <w:sz w:val="24"/>
          <w:szCs w:val="24"/>
          <w:u w:val="single"/>
        </w:rPr>
      </w:pPr>
      <w:r w:rsidRPr="005220F7">
        <w:rPr>
          <w:rFonts w:ascii="Avenir Next" w:hAnsi="Avenir Next"/>
          <w:sz w:val="24"/>
          <w:szCs w:val="24"/>
          <w:u w:val="single"/>
        </w:rPr>
        <w:t xml:space="preserve"> </w:t>
      </w:r>
    </w:p>
    <w:p w14:paraId="0D994106" w14:textId="77777777" w:rsidR="004D4FD0" w:rsidRPr="005220F7" w:rsidRDefault="004D4FD0" w:rsidP="004D4FD0">
      <w:pPr>
        <w:jc w:val="right"/>
        <w:rPr>
          <w:rFonts w:ascii="Avenir Next" w:hAnsi="Avenir Next"/>
          <w:sz w:val="24"/>
          <w:szCs w:val="24"/>
        </w:rPr>
      </w:pPr>
      <w:r w:rsidRPr="005220F7">
        <w:rPr>
          <w:rFonts w:ascii="Avenir Next" w:hAnsi="Avenir Next"/>
          <w:sz w:val="24"/>
          <w:szCs w:val="24"/>
        </w:rPr>
        <w:t>Daniela Jaikel-Víquez</w:t>
      </w:r>
    </w:p>
    <w:p w14:paraId="4B603E26" w14:textId="77777777" w:rsidR="004D4FD0" w:rsidRPr="005220F7" w:rsidRDefault="004D4FD0" w:rsidP="004D4FD0">
      <w:pPr>
        <w:jc w:val="right"/>
        <w:rPr>
          <w:rFonts w:ascii="Avenir Next" w:hAnsi="Avenir Next"/>
          <w:i/>
          <w:sz w:val="24"/>
          <w:szCs w:val="24"/>
        </w:rPr>
      </w:pPr>
      <w:r w:rsidRPr="005220F7">
        <w:rPr>
          <w:rFonts w:ascii="Avenir Next" w:hAnsi="Avenir Next"/>
          <w:i/>
          <w:sz w:val="24"/>
          <w:szCs w:val="24"/>
        </w:rPr>
        <w:t>Universidad de Costa Rica, Facultad de Microbiología, Centro de Investigación en Enfermedades Tropicales</w:t>
      </w:r>
      <w:r>
        <w:rPr>
          <w:rFonts w:ascii="Avenir Next" w:hAnsi="Avenir Next"/>
          <w:i/>
          <w:sz w:val="24"/>
          <w:szCs w:val="24"/>
        </w:rPr>
        <w:t xml:space="preserve">, San José, </w:t>
      </w:r>
      <w:r w:rsidRPr="005220F7">
        <w:rPr>
          <w:rFonts w:ascii="Avenir Next" w:hAnsi="Avenir Next"/>
          <w:i/>
          <w:sz w:val="24"/>
          <w:szCs w:val="24"/>
        </w:rPr>
        <w:t>Costa Rica</w:t>
      </w:r>
    </w:p>
    <w:p w14:paraId="463D0FC5" w14:textId="77777777" w:rsidR="004D4FD0" w:rsidRPr="005220F7" w:rsidRDefault="005A389B" w:rsidP="004D4FD0">
      <w:pPr>
        <w:jc w:val="right"/>
        <w:rPr>
          <w:rFonts w:ascii="Avenir Next" w:hAnsi="Avenir Next"/>
          <w:i/>
          <w:color w:val="56C0E2"/>
          <w:sz w:val="24"/>
          <w:szCs w:val="24"/>
        </w:rPr>
      </w:pPr>
      <w:hyperlink r:id="rId8">
        <w:r w:rsidR="004D4FD0" w:rsidRPr="005220F7">
          <w:rPr>
            <w:rFonts w:ascii="Avenir Next" w:hAnsi="Avenir Next"/>
            <w:color w:val="1155CC"/>
            <w:sz w:val="24"/>
            <w:szCs w:val="24"/>
            <w:u w:val="single"/>
          </w:rPr>
          <w:t>daniela.jaikelviquez@ucr.ac.cr</w:t>
        </w:r>
      </w:hyperlink>
    </w:p>
    <w:p w14:paraId="2F92DBD9" w14:textId="77777777" w:rsidR="004D4FD0" w:rsidRPr="005220F7" w:rsidRDefault="004D4FD0" w:rsidP="004D4FD0">
      <w:pPr>
        <w:jc w:val="right"/>
        <w:rPr>
          <w:rFonts w:ascii="Avenir Next" w:hAnsi="Avenir Next"/>
          <w:i/>
          <w:sz w:val="24"/>
          <w:szCs w:val="24"/>
          <w:u w:val="single"/>
        </w:rPr>
      </w:pPr>
      <w:r w:rsidRPr="005220F7">
        <w:rPr>
          <w:rFonts w:ascii="Avenir Next" w:hAnsi="Avenir Next"/>
          <w:i/>
          <w:sz w:val="24"/>
          <w:szCs w:val="24"/>
          <w:u w:val="single"/>
        </w:rPr>
        <w:t xml:space="preserve"> </w:t>
      </w:r>
    </w:p>
    <w:p w14:paraId="3008E129" w14:textId="77777777" w:rsidR="004D4FD0" w:rsidRPr="005220F7" w:rsidRDefault="004D4FD0" w:rsidP="004D4FD0">
      <w:pPr>
        <w:jc w:val="right"/>
        <w:rPr>
          <w:rFonts w:ascii="Avenir Next" w:hAnsi="Avenir Next"/>
          <w:sz w:val="24"/>
          <w:szCs w:val="24"/>
        </w:rPr>
      </w:pPr>
      <w:r w:rsidRPr="005220F7">
        <w:rPr>
          <w:rFonts w:ascii="Avenir Next" w:hAnsi="Avenir Next"/>
          <w:sz w:val="24"/>
          <w:szCs w:val="24"/>
        </w:rPr>
        <w:t>Mariamalia Cob-Delgado</w:t>
      </w:r>
    </w:p>
    <w:p w14:paraId="5FB2A6C1" w14:textId="77777777" w:rsidR="004D4FD0" w:rsidRPr="005220F7" w:rsidRDefault="004D4FD0" w:rsidP="004D4FD0">
      <w:pPr>
        <w:jc w:val="right"/>
        <w:rPr>
          <w:rFonts w:ascii="Avenir Next" w:hAnsi="Avenir Next"/>
          <w:i/>
          <w:sz w:val="24"/>
          <w:szCs w:val="24"/>
        </w:rPr>
      </w:pPr>
      <w:r w:rsidRPr="005220F7">
        <w:rPr>
          <w:rFonts w:ascii="Avenir Next" w:hAnsi="Avenir Next"/>
          <w:i/>
          <w:sz w:val="24"/>
          <w:szCs w:val="24"/>
        </w:rPr>
        <w:t xml:space="preserve">Instituto Costarricense de Investigación y Enseñanza en Nutrición y Salud, </w:t>
      </w:r>
      <w:r>
        <w:rPr>
          <w:rFonts w:ascii="Avenir Next" w:hAnsi="Avenir Next"/>
          <w:i/>
          <w:sz w:val="24"/>
          <w:szCs w:val="24"/>
        </w:rPr>
        <w:t xml:space="preserve">San José, </w:t>
      </w:r>
      <w:r w:rsidRPr="005220F7">
        <w:rPr>
          <w:rFonts w:ascii="Avenir Next" w:hAnsi="Avenir Next"/>
          <w:i/>
          <w:sz w:val="24"/>
          <w:szCs w:val="24"/>
        </w:rPr>
        <w:t>Costa Rica</w:t>
      </w:r>
    </w:p>
    <w:p w14:paraId="63B4112E" w14:textId="77777777" w:rsidR="004D4FD0" w:rsidRPr="005220F7" w:rsidRDefault="005A389B" w:rsidP="004D4FD0">
      <w:pPr>
        <w:jc w:val="right"/>
        <w:rPr>
          <w:rFonts w:ascii="Avenir Next" w:hAnsi="Avenir Next"/>
          <w:sz w:val="24"/>
          <w:szCs w:val="24"/>
          <w:u w:val="single"/>
        </w:rPr>
      </w:pPr>
      <w:hyperlink r:id="rId9">
        <w:r w:rsidR="004D4FD0" w:rsidRPr="005220F7">
          <w:rPr>
            <w:rFonts w:ascii="Avenir Next" w:hAnsi="Avenir Next"/>
            <w:color w:val="1155CC"/>
            <w:sz w:val="24"/>
            <w:szCs w:val="24"/>
            <w:u w:val="single"/>
          </w:rPr>
          <w:t>mcob@inciensa.sa.cr</w:t>
        </w:r>
      </w:hyperlink>
    </w:p>
    <w:p w14:paraId="0E03EE1A" w14:textId="77777777" w:rsidR="004D4FD0" w:rsidRPr="005220F7" w:rsidRDefault="004D4FD0" w:rsidP="004D4FD0">
      <w:pPr>
        <w:jc w:val="right"/>
        <w:rPr>
          <w:rFonts w:ascii="Avenir Next" w:hAnsi="Avenir Next"/>
          <w:i/>
          <w:sz w:val="24"/>
          <w:szCs w:val="24"/>
          <w:u w:val="single"/>
        </w:rPr>
      </w:pPr>
    </w:p>
    <w:p w14:paraId="47D20D7F" w14:textId="77777777" w:rsidR="004D4FD0" w:rsidRPr="005220F7" w:rsidRDefault="004D4FD0" w:rsidP="004D4FD0">
      <w:pPr>
        <w:jc w:val="right"/>
        <w:rPr>
          <w:rFonts w:ascii="Avenir Next" w:hAnsi="Avenir Next"/>
          <w:sz w:val="24"/>
          <w:szCs w:val="24"/>
        </w:rPr>
      </w:pPr>
      <w:bookmarkStart w:id="0" w:name="_Hlk109593279"/>
      <w:r w:rsidRPr="005220F7">
        <w:rPr>
          <w:rFonts w:ascii="Avenir Next" w:hAnsi="Avenir Next"/>
          <w:sz w:val="24"/>
          <w:szCs w:val="24"/>
        </w:rPr>
        <w:t>Mariela Agüero Barrantes</w:t>
      </w:r>
    </w:p>
    <w:bookmarkEnd w:id="0"/>
    <w:p w14:paraId="605CA7DD" w14:textId="77777777" w:rsidR="004D4FD0" w:rsidRPr="005220F7" w:rsidRDefault="004D4FD0" w:rsidP="004D4FD0">
      <w:pPr>
        <w:jc w:val="right"/>
        <w:rPr>
          <w:rFonts w:ascii="Avenir Next" w:hAnsi="Avenir Next"/>
          <w:i/>
          <w:sz w:val="24"/>
          <w:szCs w:val="24"/>
        </w:rPr>
      </w:pPr>
      <w:r w:rsidRPr="005220F7">
        <w:rPr>
          <w:rFonts w:ascii="Avenir Next" w:hAnsi="Avenir Next"/>
          <w:i/>
          <w:sz w:val="24"/>
          <w:szCs w:val="24"/>
        </w:rPr>
        <w:t xml:space="preserve">Museos del Banco Central, </w:t>
      </w:r>
      <w:r>
        <w:rPr>
          <w:rFonts w:ascii="Avenir Next" w:hAnsi="Avenir Next"/>
          <w:i/>
          <w:sz w:val="24"/>
          <w:szCs w:val="24"/>
        </w:rPr>
        <w:t xml:space="preserve">San José, </w:t>
      </w:r>
      <w:r w:rsidRPr="005220F7">
        <w:rPr>
          <w:rFonts w:ascii="Avenir Next" w:hAnsi="Avenir Next"/>
          <w:i/>
          <w:sz w:val="24"/>
          <w:szCs w:val="24"/>
        </w:rPr>
        <w:t xml:space="preserve">Costa Rica </w:t>
      </w:r>
    </w:p>
    <w:p w14:paraId="5DA0A43F" w14:textId="77777777" w:rsidR="004D4FD0" w:rsidRPr="005220F7" w:rsidRDefault="005A389B" w:rsidP="004D4FD0">
      <w:pPr>
        <w:jc w:val="right"/>
        <w:rPr>
          <w:rFonts w:ascii="Avenir Next" w:hAnsi="Avenir Next"/>
          <w:sz w:val="24"/>
          <w:szCs w:val="24"/>
          <w:u w:val="single"/>
        </w:rPr>
      </w:pPr>
      <w:hyperlink r:id="rId10">
        <w:r w:rsidR="004D4FD0" w:rsidRPr="005220F7">
          <w:rPr>
            <w:rFonts w:ascii="Avenir Next" w:hAnsi="Avenir Next"/>
            <w:color w:val="1155CC"/>
            <w:sz w:val="24"/>
            <w:szCs w:val="24"/>
            <w:u w:val="single"/>
          </w:rPr>
          <w:t>aguerobm</w:t>
        </w:r>
      </w:hyperlink>
      <w:hyperlink r:id="rId11">
        <w:r w:rsidR="004D4FD0" w:rsidRPr="005220F7">
          <w:rPr>
            <w:rFonts w:ascii="Avenir Next" w:hAnsi="Avenir Next"/>
            <w:color w:val="1155CC"/>
            <w:sz w:val="24"/>
            <w:szCs w:val="24"/>
            <w:u w:val="single"/>
          </w:rPr>
          <w:t xml:space="preserve">@bccr.fi.cr </w:t>
        </w:r>
      </w:hyperlink>
    </w:p>
    <w:p w14:paraId="76C9F25B" w14:textId="77777777" w:rsidR="004D4FD0" w:rsidRPr="005220F7" w:rsidRDefault="004D4FD0" w:rsidP="004D4FD0">
      <w:pPr>
        <w:jc w:val="right"/>
        <w:rPr>
          <w:rFonts w:ascii="Avenir Next" w:hAnsi="Avenir Next"/>
          <w:i/>
          <w:sz w:val="24"/>
          <w:szCs w:val="24"/>
          <w:u w:val="single"/>
        </w:rPr>
      </w:pPr>
    </w:p>
    <w:p w14:paraId="3C63755C" w14:textId="77777777" w:rsidR="004D4FD0" w:rsidRPr="005220F7" w:rsidRDefault="004D4FD0" w:rsidP="004D4FD0">
      <w:pPr>
        <w:jc w:val="right"/>
        <w:rPr>
          <w:rFonts w:ascii="Avenir Next" w:hAnsi="Avenir Next"/>
          <w:sz w:val="24"/>
          <w:szCs w:val="24"/>
        </w:rPr>
      </w:pPr>
      <w:r w:rsidRPr="005220F7">
        <w:rPr>
          <w:rFonts w:ascii="Avenir Next" w:hAnsi="Avenir Next"/>
          <w:sz w:val="24"/>
          <w:szCs w:val="24"/>
        </w:rPr>
        <w:t>Marco Arce Cerdas</w:t>
      </w:r>
    </w:p>
    <w:p w14:paraId="4E9A1E44" w14:textId="77777777" w:rsidR="004D4FD0" w:rsidRPr="005220F7" w:rsidRDefault="004D4FD0" w:rsidP="004D4FD0">
      <w:pPr>
        <w:jc w:val="right"/>
        <w:rPr>
          <w:rFonts w:ascii="Avenir Next" w:hAnsi="Avenir Next"/>
          <w:i/>
          <w:sz w:val="24"/>
          <w:szCs w:val="24"/>
        </w:rPr>
      </w:pPr>
      <w:r w:rsidRPr="005220F7">
        <w:rPr>
          <w:rFonts w:ascii="Avenir Next" w:hAnsi="Avenir Next"/>
          <w:i/>
          <w:sz w:val="24"/>
          <w:szCs w:val="24"/>
        </w:rPr>
        <w:t xml:space="preserve">Museos del Banco Central, </w:t>
      </w:r>
      <w:r>
        <w:rPr>
          <w:rFonts w:ascii="Avenir Next" w:hAnsi="Avenir Next"/>
          <w:i/>
          <w:sz w:val="24"/>
          <w:szCs w:val="24"/>
        </w:rPr>
        <w:t xml:space="preserve">San José, </w:t>
      </w:r>
      <w:r w:rsidRPr="005220F7">
        <w:rPr>
          <w:rFonts w:ascii="Avenir Next" w:hAnsi="Avenir Next"/>
          <w:i/>
          <w:sz w:val="24"/>
          <w:szCs w:val="24"/>
        </w:rPr>
        <w:t>Costa Rica</w:t>
      </w:r>
    </w:p>
    <w:p w14:paraId="0987FA5D" w14:textId="77777777" w:rsidR="004D4FD0" w:rsidRPr="005220F7" w:rsidRDefault="005A389B" w:rsidP="004D4FD0">
      <w:pPr>
        <w:jc w:val="right"/>
        <w:rPr>
          <w:rFonts w:ascii="Avenir Next" w:hAnsi="Avenir Next"/>
          <w:i/>
          <w:sz w:val="24"/>
          <w:szCs w:val="24"/>
          <w:u w:val="single"/>
          <w:lang w:val="en-US"/>
        </w:rPr>
      </w:pPr>
      <w:hyperlink r:id="rId12">
        <w:r w:rsidR="004D4FD0" w:rsidRPr="005220F7">
          <w:rPr>
            <w:rFonts w:ascii="Avenir Next" w:hAnsi="Avenir Next"/>
            <w:color w:val="1155CC"/>
            <w:sz w:val="24"/>
            <w:szCs w:val="24"/>
            <w:u w:val="single"/>
            <w:lang w:val="en-US"/>
          </w:rPr>
          <w:t>arcecm@bccr.fi.cr</w:t>
        </w:r>
      </w:hyperlink>
    </w:p>
    <w:p w14:paraId="409C653A" w14:textId="77777777" w:rsidR="004D4FD0" w:rsidRPr="005220F7" w:rsidRDefault="004D4FD0" w:rsidP="004D4FD0">
      <w:pPr>
        <w:rPr>
          <w:rFonts w:ascii="Avenir Next" w:hAnsi="Avenir Next"/>
          <w:i/>
          <w:sz w:val="24"/>
          <w:szCs w:val="24"/>
          <w:u w:val="single"/>
          <w:lang w:val="en-US"/>
        </w:rPr>
      </w:pPr>
    </w:p>
    <w:p w14:paraId="4AE438B0" w14:textId="77777777" w:rsidR="004D4FD0" w:rsidRPr="005220F7" w:rsidRDefault="004D4FD0" w:rsidP="004D4FD0">
      <w:pPr>
        <w:jc w:val="right"/>
        <w:rPr>
          <w:rFonts w:ascii="Avenir Next" w:hAnsi="Avenir Next"/>
          <w:sz w:val="24"/>
          <w:szCs w:val="24"/>
          <w:lang w:val="en-US"/>
        </w:rPr>
      </w:pPr>
      <w:bookmarkStart w:id="1" w:name="_Hlk109594122"/>
      <w:r w:rsidRPr="005220F7">
        <w:rPr>
          <w:rFonts w:ascii="Avenir Next" w:hAnsi="Avenir Next"/>
          <w:sz w:val="24"/>
          <w:szCs w:val="24"/>
          <w:lang w:val="en-US"/>
        </w:rPr>
        <w:t>María José Monge Picado</w:t>
      </w:r>
    </w:p>
    <w:bookmarkEnd w:id="1"/>
    <w:p w14:paraId="305F90E1" w14:textId="77777777" w:rsidR="004D4FD0" w:rsidRPr="005220F7" w:rsidRDefault="004D4FD0" w:rsidP="004D4FD0">
      <w:pPr>
        <w:jc w:val="right"/>
        <w:rPr>
          <w:rFonts w:ascii="Avenir Next" w:hAnsi="Avenir Next"/>
          <w:i/>
          <w:sz w:val="24"/>
          <w:szCs w:val="24"/>
        </w:rPr>
      </w:pPr>
      <w:r w:rsidRPr="005220F7">
        <w:rPr>
          <w:rFonts w:ascii="Avenir Next" w:hAnsi="Avenir Next"/>
          <w:i/>
          <w:sz w:val="24"/>
          <w:szCs w:val="24"/>
        </w:rPr>
        <w:t xml:space="preserve">Museos del Banco Central, </w:t>
      </w:r>
      <w:r>
        <w:rPr>
          <w:rFonts w:ascii="Avenir Next" w:hAnsi="Avenir Next"/>
          <w:i/>
          <w:sz w:val="24"/>
          <w:szCs w:val="24"/>
        </w:rPr>
        <w:t xml:space="preserve">San José, </w:t>
      </w:r>
      <w:r w:rsidRPr="005220F7">
        <w:rPr>
          <w:rFonts w:ascii="Avenir Next" w:hAnsi="Avenir Next"/>
          <w:i/>
          <w:sz w:val="24"/>
          <w:szCs w:val="24"/>
        </w:rPr>
        <w:t xml:space="preserve">Costa Rica </w:t>
      </w:r>
    </w:p>
    <w:p w14:paraId="5D45D284" w14:textId="77777777" w:rsidR="004D4FD0" w:rsidRPr="005220F7" w:rsidRDefault="005A389B" w:rsidP="004D4FD0">
      <w:pPr>
        <w:jc w:val="right"/>
        <w:rPr>
          <w:rFonts w:ascii="Avenir Next" w:hAnsi="Avenir Next"/>
          <w:sz w:val="24"/>
          <w:szCs w:val="24"/>
        </w:rPr>
      </w:pPr>
      <w:hyperlink r:id="rId13">
        <w:r w:rsidR="004D4FD0" w:rsidRPr="005220F7">
          <w:rPr>
            <w:rFonts w:ascii="Avenir Next" w:hAnsi="Avenir Next"/>
            <w:color w:val="1155CC"/>
            <w:sz w:val="24"/>
            <w:szCs w:val="24"/>
            <w:u w:val="single"/>
          </w:rPr>
          <w:t>curaduria.arte.mbccr@gmail.com</w:t>
        </w:r>
      </w:hyperlink>
    </w:p>
    <w:p w14:paraId="5AA9F66E" w14:textId="77777777" w:rsidR="004D4FD0" w:rsidRPr="005220F7" w:rsidRDefault="004D4FD0" w:rsidP="004D4FD0">
      <w:pPr>
        <w:jc w:val="right"/>
        <w:rPr>
          <w:rFonts w:ascii="Avenir Next" w:hAnsi="Avenir Next"/>
          <w:sz w:val="24"/>
          <w:szCs w:val="24"/>
        </w:rPr>
      </w:pPr>
    </w:p>
    <w:p w14:paraId="455FCA0E" w14:textId="77777777" w:rsidR="004D4FD0" w:rsidRPr="005220F7" w:rsidRDefault="004D4FD0" w:rsidP="004D4FD0">
      <w:pPr>
        <w:jc w:val="right"/>
        <w:rPr>
          <w:rFonts w:ascii="Avenir Next" w:hAnsi="Avenir Next"/>
          <w:sz w:val="24"/>
          <w:szCs w:val="24"/>
        </w:rPr>
      </w:pPr>
      <w:r w:rsidRPr="005220F7">
        <w:rPr>
          <w:rFonts w:ascii="Avenir Next" w:hAnsi="Avenir Next"/>
          <w:sz w:val="24"/>
          <w:szCs w:val="24"/>
        </w:rPr>
        <w:t>Mauricio Redondo-Solano</w:t>
      </w:r>
    </w:p>
    <w:p w14:paraId="06D74ABD" w14:textId="77777777" w:rsidR="004D4FD0" w:rsidRPr="005220F7" w:rsidRDefault="004D4FD0" w:rsidP="004D4FD0">
      <w:pPr>
        <w:jc w:val="right"/>
        <w:rPr>
          <w:rFonts w:ascii="Avenir Next" w:hAnsi="Avenir Next"/>
          <w:i/>
          <w:sz w:val="24"/>
          <w:szCs w:val="24"/>
        </w:rPr>
      </w:pPr>
      <w:r>
        <w:rPr>
          <w:rFonts w:ascii="Avenir Next" w:hAnsi="Avenir Next"/>
          <w:i/>
          <w:sz w:val="24"/>
          <w:szCs w:val="24"/>
        </w:rPr>
        <w:t xml:space="preserve">Universidad de Costa Rica, </w:t>
      </w:r>
      <w:r w:rsidRPr="005220F7">
        <w:rPr>
          <w:rFonts w:ascii="Avenir Next" w:hAnsi="Avenir Next"/>
          <w:i/>
          <w:sz w:val="24"/>
          <w:szCs w:val="24"/>
        </w:rPr>
        <w:t xml:space="preserve">Facultad de Microbiología, </w:t>
      </w:r>
      <w:r w:rsidRPr="00884D8B">
        <w:rPr>
          <w:rFonts w:ascii="Avenir Next" w:hAnsi="Avenir Next"/>
          <w:i/>
          <w:sz w:val="24"/>
          <w:szCs w:val="24"/>
        </w:rPr>
        <w:t>Centro de Investigación en Enfermedades Tropicales</w:t>
      </w:r>
      <w:r w:rsidRPr="005220F7">
        <w:rPr>
          <w:rFonts w:ascii="Avenir Next" w:hAnsi="Avenir Next"/>
          <w:i/>
          <w:sz w:val="24"/>
          <w:szCs w:val="24"/>
        </w:rPr>
        <w:t>,</w:t>
      </w:r>
      <w:r>
        <w:rPr>
          <w:rFonts w:ascii="Avenir Next" w:hAnsi="Avenir Next"/>
          <w:i/>
          <w:sz w:val="24"/>
          <w:szCs w:val="24"/>
        </w:rPr>
        <w:t xml:space="preserve"> </w:t>
      </w:r>
      <w:r w:rsidRPr="005220F7">
        <w:rPr>
          <w:rFonts w:ascii="Avenir Next" w:hAnsi="Avenir Next"/>
          <w:i/>
          <w:sz w:val="24"/>
          <w:szCs w:val="24"/>
        </w:rPr>
        <w:t xml:space="preserve">Laboratorio de Investigación y Entrenamiento en Microbiología </w:t>
      </w:r>
      <w:r>
        <w:rPr>
          <w:rFonts w:ascii="Avenir Next" w:hAnsi="Avenir Next"/>
          <w:i/>
          <w:sz w:val="24"/>
          <w:szCs w:val="24"/>
        </w:rPr>
        <w:t>de Alimentos y Aguas,</w:t>
      </w:r>
      <w:r w:rsidRPr="005220F7">
        <w:rPr>
          <w:rFonts w:ascii="Avenir Next" w:hAnsi="Avenir Next"/>
          <w:i/>
          <w:sz w:val="24"/>
          <w:szCs w:val="24"/>
        </w:rPr>
        <w:t xml:space="preserve"> </w:t>
      </w:r>
      <w:r>
        <w:rPr>
          <w:rFonts w:ascii="Avenir Next" w:hAnsi="Avenir Next"/>
          <w:i/>
          <w:sz w:val="24"/>
          <w:szCs w:val="24"/>
        </w:rPr>
        <w:t xml:space="preserve">San José, </w:t>
      </w:r>
      <w:r w:rsidRPr="005220F7">
        <w:rPr>
          <w:rFonts w:ascii="Avenir Next" w:hAnsi="Avenir Next"/>
          <w:i/>
          <w:sz w:val="24"/>
          <w:szCs w:val="24"/>
        </w:rPr>
        <w:t>Costa Rica</w:t>
      </w:r>
    </w:p>
    <w:p w14:paraId="0C5AEB5C" w14:textId="77777777" w:rsidR="004D4FD0" w:rsidRPr="005220F7" w:rsidRDefault="005A389B" w:rsidP="004D4FD0">
      <w:pPr>
        <w:jc w:val="right"/>
        <w:rPr>
          <w:rFonts w:ascii="Avenir Next" w:hAnsi="Avenir Next"/>
          <w:sz w:val="24"/>
          <w:szCs w:val="24"/>
          <w:u w:val="single"/>
        </w:rPr>
      </w:pPr>
      <w:hyperlink r:id="rId14">
        <w:r w:rsidR="004D4FD0" w:rsidRPr="005220F7">
          <w:rPr>
            <w:rFonts w:ascii="Avenir Next" w:hAnsi="Avenir Next"/>
            <w:color w:val="1155CC"/>
            <w:sz w:val="24"/>
            <w:szCs w:val="24"/>
            <w:u w:val="single"/>
          </w:rPr>
          <w:t>mauricio.redondosolano@ucr.ac.cr</w:t>
        </w:r>
      </w:hyperlink>
    </w:p>
    <w:p w14:paraId="1703F2D4" w14:textId="77777777" w:rsidR="004D4FD0" w:rsidRPr="005220F7" w:rsidRDefault="004D4FD0" w:rsidP="004D4FD0">
      <w:pPr>
        <w:jc w:val="right"/>
        <w:rPr>
          <w:rFonts w:ascii="Avenir Next" w:hAnsi="Avenir Next"/>
          <w:sz w:val="24"/>
          <w:szCs w:val="24"/>
          <w:u w:val="single"/>
        </w:rPr>
      </w:pPr>
    </w:p>
    <w:p w14:paraId="0D8770A8" w14:textId="77777777" w:rsidR="004D4FD0" w:rsidRPr="005220F7" w:rsidRDefault="004D4FD0" w:rsidP="004D4FD0">
      <w:pPr>
        <w:jc w:val="right"/>
        <w:rPr>
          <w:rFonts w:ascii="Avenir Next" w:hAnsi="Avenir Next"/>
          <w:sz w:val="24"/>
          <w:szCs w:val="24"/>
        </w:rPr>
      </w:pPr>
      <w:bookmarkStart w:id="2" w:name="_Hlk109594486"/>
      <w:r w:rsidRPr="00357A6B">
        <w:rPr>
          <w:rFonts w:ascii="Avenir Next" w:hAnsi="Avenir Next"/>
          <w:sz w:val="24"/>
          <w:szCs w:val="24"/>
        </w:rPr>
        <w:t>Óscar</w:t>
      </w:r>
      <w:r>
        <w:rPr>
          <w:rFonts w:ascii="Avenir Next" w:hAnsi="Avenir Next"/>
          <w:sz w:val="24"/>
          <w:szCs w:val="24"/>
        </w:rPr>
        <w:t xml:space="preserve"> Andrey</w:t>
      </w:r>
      <w:r w:rsidRPr="005220F7">
        <w:rPr>
          <w:rFonts w:ascii="Avenir Next" w:hAnsi="Avenir Next"/>
          <w:sz w:val="24"/>
          <w:szCs w:val="24"/>
        </w:rPr>
        <w:t xml:space="preserve"> Herrera-Sancho</w:t>
      </w:r>
    </w:p>
    <w:bookmarkEnd w:id="2"/>
    <w:p w14:paraId="1FF99501" w14:textId="77777777" w:rsidR="004D4FD0" w:rsidRPr="004860F8" w:rsidRDefault="004D4FD0" w:rsidP="004D4FD0">
      <w:pPr>
        <w:jc w:val="right"/>
        <w:rPr>
          <w:rFonts w:ascii="Avenir Next" w:hAnsi="Avenir Next"/>
          <w:i/>
          <w:sz w:val="24"/>
          <w:szCs w:val="24"/>
        </w:rPr>
      </w:pPr>
      <w:r w:rsidRPr="005220F7">
        <w:rPr>
          <w:rFonts w:ascii="Avenir Next" w:hAnsi="Avenir Next"/>
          <w:i/>
          <w:sz w:val="24"/>
          <w:szCs w:val="24"/>
        </w:rPr>
        <w:t xml:space="preserve">Universidad de Costa Rica, Escuela de Física, Centro de Investigaciones en Ciencias Atómicas, Nucleares y Moleculares, Instituto de Investigaciones en Arte, </w:t>
      </w:r>
      <w:r>
        <w:rPr>
          <w:rFonts w:ascii="Avenir Next" w:hAnsi="Avenir Next"/>
          <w:i/>
          <w:sz w:val="24"/>
          <w:szCs w:val="24"/>
        </w:rPr>
        <w:t xml:space="preserve">San José, </w:t>
      </w:r>
      <w:r w:rsidRPr="005220F7">
        <w:rPr>
          <w:rFonts w:ascii="Avenir Next" w:hAnsi="Avenir Next"/>
          <w:i/>
          <w:sz w:val="24"/>
          <w:szCs w:val="24"/>
        </w:rPr>
        <w:t>Costa Rica</w:t>
      </w:r>
      <w:r w:rsidRPr="004860F8">
        <w:rPr>
          <w:rFonts w:ascii="Avenir Next" w:hAnsi="Avenir Next"/>
          <w:i/>
          <w:sz w:val="24"/>
          <w:szCs w:val="24"/>
        </w:rPr>
        <w:t xml:space="preserve"> </w:t>
      </w:r>
    </w:p>
    <w:p w14:paraId="44D61524" w14:textId="77777777" w:rsidR="004D4FD0" w:rsidRPr="004860F8" w:rsidRDefault="005A389B" w:rsidP="004D4FD0">
      <w:pPr>
        <w:jc w:val="right"/>
        <w:rPr>
          <w:rFonts w:ascii="Avenir Next" w:hAnsi="Avenir Next"/>
          <w:i/>
          <w:sz w:val="24"/>
          <w:szCs w:val="24"/>
          <w:u w:val="single"/>
        </w:rPr>
      </w:pPr>
      <w:hyperlink r:id="rId15">
        <w:r w:rsidR="004D4FD0" w:rsidRPr="004860F8">
          <w:rPr>
            <w:rFonts w:ascii="Avenir Next" w:hAnsi="Avenir Next"/>
            <w:color w:val="1155CC"/>
            <w:sz w:val="24"/>
            <w:szCs w:val="24"/>
            <w:u w:val="single"/>
          </w:rPr>
          <w:t>oscar.herrerasancho@ucr.ac.cr</w:t>
        </w:r>
      </w:hyperlink>
    </w:p>
    <w:p w14:paraId="4E839D61" w14:textId="77777777" w:rsidR="00675FD2" w:rsidRPr="00454FAC" w:rsidRDefault="00675FD2">
      <w:pPr>
        <w:jc w:val="center"/>
        <w:rPr>
          <w:rFonts w:ascii="Avenir Next" w:hAnsi="Avenir Next"/>
          <w:b/>
          <w:bCs/>
        </w:rPr>
      </w:pPr>
    </w:p>
    <w:p w14:paraId="0668E0B4" w14:textId="5BA859DC" w:rsidR="00454FAC" w:rsidRPr="000B1B63" w:rsidRDefault="00454FAC" w:rsidP="00454FAC">
      <w:pPr>
        <w:pStyle w:val="Sinespaciado"/>
        <w:rPr>
          <w:rFonts w:ascii="Avenir Next" w:hAnsi="Avenir Next"/>
          <w:b/>
          <w:sz w:val="18"/>
          <w:szCs w:val="18"/>
        </w:rPr>
      </w:pPr>
      <w:r w:rsidRPr="000B1B63">
        <w:rPr>
          <w:rFonts w:ascii="Avenir Next" w:hAnsi="Avenir Next"/>
          <w:b/>
          <w:sz w:val="18"/>
          <w:szCs w:val="18"/>
        </w:rPr>
        <w:lastRenderedPageBreak/>
        <w:t>Recibido:</w:t>
      </w:r>
      <w:r w:rsidRPr="000B1B63">
        <w:rPr>
          <w:rFonts w:ascii="Avenir Next" w:hAnsi="Avenir Next"/>
          <w:sz w:val="18"/>
          <w:szCs w:val="18"/>
        </w:rPr>
        <w:t xml:space="preserve"> </w:t>
      </w:r>
      <w:r>
        <w:rPr>
          <w:rFonts w:ascii="Avenir Next" w:hAnsi="Avenir Next"/>
          <w:sz w:val="18"/>
          <w:szCs w:val="18"/>
        </w:rPr>
        <w:t>18 de mayo de 2022.</w:t>
      </w:r>
    </w:p>
    <w:p w14:paraId="737B1F70" w14:textId="6E2B47EA" w:rsidR="00454FAC" w:rsidRPr="00D8562D" w:rsidRDefault="00454FAC" w:rsidP="00454FAC">
      <w:pPr>
        <w:pStyle w:val="Sinespaciado"/>
        <w:rPr>
          <w:rFonts w:ascii="Avenir Next" w:hAnsi="Avenir Next"/>
          <w:sz w:val="18"/>
          <w:szCs w:val="18"/>
        </w:rPr>
      </w:pPr>
      <w:r w:rsidRPr="000B1B63">
        <w:rPr>
          <w:rFonts w:ascii="Avenir Next" w:hAnsi="Avenir Next"/>
          <w:b/>
          <w:sz w:val="18"/>
          <w:szCs w:val="18"/>
        </w:rPr>
        <w:t>Aprobado:</w:t>
      </w:r>
      <w:r w:rsidRPr="000B1B63">
        <w:rPr>
          <w:rFonts w:ascii="Avenir Next" w:hAnsi="Avenir Next"/>
          <w:sz w:val="18"/>
          <w:szCs w:val="18"/>
        </w:rPr>
        <w:t xml:space="preserve"> </w:t>
      </w:r>
      <w:r>
        <w:rPr>
          <w:rFonts w:ascii="Avenir Next" w:hAnsi="Avenir Next"/>
          <w:sz w:val="18"/>
          <w:szCs w:val="18"/>
        </w:rPr>
        <w:t>13 de octubre de 2022.</w:t>
      </w:r>
    </w:p>
    <w:p w14:paraId="5571F137" w14:textId="3ED24C24" w:rsidR="00454FAC" w:rsidRDefault="005A389B" w:rsidP="00454FAC">
      <w:pPr>
        <w:widowControl w:val="0"/>
        <w:autoSpaceDE w:val="0"/>
        <w:autoSpaceDN w:val="0"/>
        <w:adjustRightInd w:val="0"/>
        <w:ind w:left="426"/>
        <w:jc w:val="both"/>
        <w:rPr>
          <w:rFonts w:ascii="Avenir Next" w:hAnsi="Avenir Next"/>
          <w:b/>
          <w:color w:val="1A1A1A"/>
          <w:sz w:val="18"/>
          <w:szCs w:val="18"/>
          <w:lang w:val="es-ES"/>
        </w:rPr>
      </w:pPr>
      <w:r>
        <w:rPr>
          <w:noProof/>
        </w:rPr>
        <w:pict w14:anchorId="4D4DDADE">
          <v:shapetype id="_x0000_t202" coordsize="21600,21600" o:spt="202" path="m,l,21600r21600,l21600,xe">
            <v:stroke joinstyle="miter"/>
            <v:path gradientshapeok="t" o:connecttype="rect"/>
          </v:shapetype>
          <v:shape id="Text Box 2" o:spid="_x0000_s1028" type="#_x0000_t202" style="position:absolute;left:0;text-align:left;margin-left:0;margin-top:1.15pt;width:217.1pt;height:484.55pt;z-index:251669504;visibility:visible;mso-wrap-distance-left:9pt;mso-wrap-distance-top:0;mso-wrap-distance-right:9pt;mso-wrap-distance-bottom:0;mso-position-horizontal:left;mso-position-horizontal-relative:margin;mso-position-vertical:absolute;mso-position-vertical-relative:text;mso-width-relative:page;mso-height-relative:page;v-text-anchor:top" wrapcoords="-106 0 -106 21521 21600 21521 21600 0 -10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" fillcolor="#f2f2f2 [3052]" stroked="f">
            <v:path arrowok="t"/>
            <v:textbox inset=",7.2pt,,7.2pt">
              <w:txbxContent>
                <w:p w14:paraId="46D27CBA" w14:textId="77777777" w:rsidR="00454FAC" w:rsidRPr="00FB1FBE" w:rsidRDefault="00454FAC" w:rsidP="00454FAC">
                  <w:pPr>
                    <w:jc w:val="both"/>
                    <w:rPr>
                      <w:rFonts w:ascii="Avenir Next" w:hAnsi="Avenir Next"/>
                      <w:b/>
                      <w:bCs/>
                      <w:sz w:val="16"/>
                      <w:szCs w:val="16"/>
                    </w:rPr>
                  </w:pPr>
                  <w:r w:rsidRPr="00FB1FBE">
                    <w:rPr>
                      <w:rFonts w:ascii="Avenir Next" w:hAnsi="Avenir Next"/>
                      <w:b/>
                      <w:bCs/>
                      <w:sz w:val="16"/>
                      <w:szCs w:val="16"/>
                    </w:rPr>
                    <w:t>Melania C. Rivera-Romero</w:t>
                  </w:r>
                  <w:r>
                    <w:rPr>
                      <w:rFonts w:ascii="Avenir Next" w:hAnsi="Avenir Next"/>
                      <w:b/>
                      <w:bCs/>
                      <w:sz w:val="16"/>
                      <w:szCs w:val="16"/>
                    </w:rPr>
                    <w:t xml:space="preserve">: </w:t>
                  </w:r>
                  <w:r w:rsidRPr="005347DD">
                    <w:rPr>
                      <w:rFonts w:ascii="Avenir Next" w:hAnsi="Avenir Next"/>
                      <w:sz w:val="16"/>
                      <w:szCs w:val="16"/>
                    </w:rPr>
                    <w:t>Bachiller en Física de la Universidad de Costa Rica. Actualmente estudia el Bachillerato en Química en la Universidad de Costa Rica</w:t>
                  </w:r>
                  <w:r>
                    <w:rPr>
                      <w:rFonts w:ascii="Avenir Next" w:hAnsi="Avenir Next"/>
                      <w:sz w:val="16"/>
                      <w:szCs w:val="16"/>
                    </w:rPr>
                    <w:t xml:space="preserve"> y la Maestría en Física Educativa del Instituto Politécnico Nacional de México</w:t>
                  </w:r>
                  <w:r w:rsidRPr="005347DD">
                    <w:rPr>
                      <w:rFonts w:ascii="Avenir Next" w:hAnsi="Avenir Next"/>
                      <w:sz w:val="16"/>
                      <w:szCs w:val="16"/>
                    </w:rPr>
                    <w:t>.</w:t>
                  </w:r>
                </w:p>
                <w:p w14:paraId="1407D1DA" w14:textId="77777777" w:rsidR="00454FAC" w:rsidRPr="00FB1FBE" w:rsidRDefault="00454FAC" w:rsidP="00454FAC">
                  <w:pPr>
                    <w:jc w:val="both"/>
                    <w:rPr>
                      <w:rFonts w:ascii="Avenir Next" w:hAnsi="Avenir Next"/>
                      <w:b/>
                      <w:bCs/>
                      <w:sz w:val="16"/>
                      <w:szCs w:val="16"/>
                    </w:rPr>
                  </w:pPr>
                  <w:r w:rsidRPr="00FB1FBE">
                    <w:rPr>
                      <w:rFonts w:ascii="Avenir Next" w:hAnsi="Avenir Next"/>
                      <w:b/>
                      <w:bCs/>
                      <w:sz w:val="16"/>
                      <w:szCs w:val="16"/>
                    </w:rPr>
                    <w:t>Daniela Jaikel-Víquez.</w:t>
                  </w:r>
                  <w:r>
                    <w:rPr>
                      <w:rFonts w:ascii="Avenir Next" w:hAnsi="Avenir Next"/>
                      <w:b/>
                      <w:bCs/>
                      <w:sz w:val="16"/>
                      <w:szCs w:val="16"/>
                    </w:rPr>
                    <w:t xml:space="preserve">: </w:t>
                  </w:r>
                  <w:r w:rsidRPr="005347DD">
                    <w:rPr>
                      <w:rFonts w:ascii="Avenir Next" w:hAnsi="Avenir Next"/>
                      <w:sz w:val="16"/>
                      <w:szCs w:val="16"/>
                    </w:rPr>
                    <w:t xml:space="preserve">M.Sc en Microbiología con énfasis en Micología Médica, Esp. </w:t>
                  </w:r>
                  <w:r w:rsidRPr="00D249FD">
                    <w:rPr>
                      <w:rFonts w:ascii="Avenir Next" w:hAnsi="Avenir Next"/>
                      <w:sz w:val="16"/>
                      <w:szCs w:val="16"/>
                    </w:rPr>
                    <w:t>en</w:t>
                  </w:r>
                  <w:r w:rsidRPr="005347DD">
                    <w:rPr>
                      <w:rFonts w:ascii="Avenir Next" w:hAnsi="Avenir Next"/>
                      <w:sz w:val="16"/>
                      <w:szCs w:val="16"/>
                    </w:rPr>
                    <w:t xml:space="preserve"> Inmunología Clínica y en Micología Médica. Docente e investigadora de la Facultad de Microbiología de la Universidad de Costa Rica y del Centro de Investigación en Enfermedades Tropicales.</w:t>
                  </w:r>
                </w:p>
                <w:p w14:paraId="0B0A495A" w14:textId="77777777" w:rsidR="00454FAC" w:rsidRDefault="00454FAC" w:rsidP="00454FAC">
                  <w:pPr>
                    <w:jc w:val="both"/>
                    <w:rPr>
                      <w:rFonts w:ascii="Avenir Next" w:hAnsi="Avenir Next"/>
                      <w:sz w:val="16"/>
                      <w:szCs w:val="16"/>
                    </w:rPr>
                  </w:pPr>
                  <w:r w:rsidRPr="00FB1FBE">
                    <w:rPr>
                      <w:rFonts w:ascii="Avenir Next" w:hAnsi="Avenir Next"/>
                      <w:b/>
                      <w:bCs/>
                      <w:sz w:val="16"/>
                      <w:szCs w:val="16"/>
                    </w:rPr>
                    <w:t>Mariamalia Cob-Delgado</w:t>
                  </w:r>
                  <w:r>
                    <w:rPr>
                      <w:rFonts w:ascii="Avenir Next" w:hAnsi="Avenir Next"/>
                      <w:b/>
                      <w:bCs/>
                      <w:sz w:val="16"/>
                      <w:szCs w:val="16"/>
                    </w:rPr>
                    <w:t xml:space="preserve">: </w:t>
                  </w:r>
                  <w:r w:rsidRPr="002278E7">
                    <w:rPr>
                      <w:rFonts w:ascii="Avenir Next" w:hAnsi="Avenir Next"/>
                      <w:sz w:val="16"/>
                      <w:szCs w:val="16"/>
                    </w:rPr>
                    <w:t>M.Sc</w:t>
                  </w:r>
                  <w:r>
                    <w:rPr>
                      <w:rFonts w:ascii="Avenir Next" w:hAnsi="Avenir Next"/>
                      <w:sz w:val="16"/>
                      <w:szCs w:val="16"/>
                    </w:rPr>
                    <w:t>.</w:t>
                  </w:r>
                  <w:r w:rsidRPr="002278E7">
                    <w:rPr>
                      <w:rFonts w:ascii="Avenir Next" w:hAnsi="Avenir Next"/>
                      <w:sz w:val="16"/>
                      <w:szCs w:val="16"/>
                    </w:rPr>
                    <w:t xml:space="preserve"> en Epidemiología con</w:t>
                  </w:r>
                  <w:r>
                    <w:rPr>
                      <w:rFonts w:ascii="Avenir Next" w:hAnsi="Avenir Next"/>
                      <w:sz w:val="16"/>
                      <w:szCs w:val="16"/>
                    </w:rPr>
                    <w:t xml:space="preserve"> </w:t>
                  </w:r>
                  <w:r w:rsidRPr="002278E7">
                    <w:rPr>
                      <w:rFonts w:ascii="Avenir Next" w:hAnsi="Avenir Next"/>
                      <w:sz w:val="16"/>
                      <w:szCs w:val="16"/>
                    </w:rPr>
                    <w:t xml:space="preserve">énfasis en Sistemas </w:t>
                  </w:r>
                  <w:r w:rsidRPr="00D249FD">
                    <w:rPr>
                      <w:rFonts w:ascii="Avenir Next" w:hAnsi="Avenir Next"/>
                      <w:sz w:val="16"/>
                      <w:szCs w:val="16"/>
                    </w:rPr>
                    <w:t>de Salud</w:t>
                  </w:r>
                  <w:r w:rsidRPr="002278E7">
                    <w:rPr>
                      <w:rFonts w:ascii="Avenir Next" w:hAnsi="Avenir Next"/>
                      <w:sz w:val="16"/>
                      <w:szCs w:val="16"/>
                    </w:rPr>
                    <w:t xml:space="preserve"> y Esp. en Micología</w:t>
                  </w:r>
                  <w:r>
                    <w:rPr>
                      <w:rFonts w:ascii="Avenir Next" w:hAnsi="Avenir Next"/>
                      <w:sz w:val="16"/>
                      <w:szCs w:val="16"/>
                    </w:rPr>
                    <w:t xml:space="preserve"> </w:t>
                  </w:r>
                  <w:r w:rsidRPr="002278E7">
                    <w:rPr>
                      <w:rFonts w:ascii="Avenir Next" w:hAnsi="Avenir Next"/>
                      <w:sz w:val="16"/>
                      <w:szCs w:val="16"/>
                    </w:rPr>
                    <w:t>Médica de la Universidad</w:t>
                  </w:r>
                  <w:r>
                    <w:rPr>
                      <w:rFonts w:ascii="Avenir Next" w:hAnsi="Avenir Next"/>
                      <w:sz w:val="16"/>
                      <w:szCs w:val="16"/>
                    </w:rPr>
                    <w:t xml:space="preserve"> </w:t>
                  </w:r>
                  <w:r w:rsidRPr="002278E7">
                    <w:rPr>
                      <w:rFonts w:ascii="Avenir Next" w:hAnsi="Avenir Next"/>
                      <w:sz w:val="16"/>
                      <w:szCs w:val="16"/>
                    </w:rPr>
                    <w:t>de Costa Rica. Micóloga del</w:t>
                  </w:r>
                  <w:r>
                    <w:rPr>
                      <w:rFonts w:ascii="Avenir Next" w:hAnsi="Avenir Next"/>
                      <w:sz w:val="16"/>
                      <w:szCs w:val="16"/>
                    </w:rPr>
                    <w:t xml:space="preserve"> </w:t>
                  </w:r>
                  <w:r w:rsidRPr="002278E7">
                    <w:rPr>
                      <w:rFonts w:ascii="Avenir Next" w:hAnsi="Avenir Next"/>
                      <w:sz w:val="16"/>
                      <w:szCs w:val="16"/>
                    </w:rPr>
                    <w:t>Laboratorio de Micología</w:t>
                  </w:r>
                  <w:r>
                    <w:rPr>
                      <w:rFonts w:ascii="Avenir Next" w:hAnsi="Avenir Next"/>
                      <w:sz w:val="16"/>
                      <w:szCs w:val="16"/>
                    </w:rPr>
                    <w:t xml:space="preserve"> </w:t>
                  </w:r>
                  <w:r w:rsidRPr="002278E7">
                    <w:rPr>
                      <w:rFonts w:ascii="Avenir Next" w:hAnsi="Avenir Next"/>
                      <w:sz w:val="16"/>
                      <w:szCs w:val="16"/>
                    </w:rPr>
                    <w:t>Médica, Centro Nacional de</w:t>
                  </w:r>
                  <w:r>
                    <w:rPr>
                      <w:rFonts w:ascii="Avenir Next" w:hAnsi="Avenir Next"/>
                      <w:sz w:val="16"/>
                      <w:szCs w:val="16"/>
                    </w:rPr>
                    <w:t xml:space="preserve"> </w:t>
                  </w:r>
                  <w:r w:rsidRPr="002278E7">
                    <w:rPr>
                      <w:rFonts w:ascii="Avenir Next" w:hAnsi="Avenir Next"/>
                      <w:sz w:val="16"/>
                      <w:szCs w:val="16"/>
                    </w:rPr>
                    <w:t>Referencia de Bacteriología</w:t>
                  </w:r>
                  <w:r>
                    <w:rPr>
                      <w:rFonts w:ascii="Avenir Next" w:hAnsi="Avenir Next"/>
                      <w:sz w:val="16"/>
                      <w:szCs w:val="16"/>
                    </w:rPr>
                    <w:t xml:space="preserve"> </w:t>
                  </w:r>
                  <w:r w:rsidRPr="00D249FD">
                    <w:rPr>
                      <w:rFonts w:ascii="Avenir Next" w:hAnsi="Avenir Next"/>
                      <w:sz w:val="16"/>
                      <w:szCs w:val="16"/>
                    </w:rPr>
                    <w:t>del Insti</w:t>
                  </w:r>
                  <w:r w:rsidRPr="002278E7">
                    <w:rPr>
                      <w:rFonts w:ascii="Avenir Next" w:hAnsi="Avenir Next"/>
                      <w:sz w:val="16"/>
                      <w:szCs w:val="16"/>
                    </w:rPr>
                    <w:t>tuto Costarricense</w:t>
                  </w:r>
                  <w:r>
                    <w:rPr>
                      <w:rFonts w:ascii="Avenir Next" w:hAnsi="Avenir Next"/>
                      <w:sz w:val="16"/>
                      <w:szCs w:val="16"/>
                    </w:rPr>
                    <w:t xml:space="preserve"> </w:t>
                  </w:r>
                  <w:r w:rsidRPr="002278E7">
                    <w:rPr>
                      <w:rFonts w:ascii="Avenir Next" w:hAnsi="Avenir Next"/>
                      <w:sz w:val="16"/>
                      <w:szCs w:val="16"/>
                    </w:rPr>
                    <w:t>de Investigación y</w:t>
                  </w:r>
                  <w:r>
                    <w:rPr>
                      <w:rFonts w:ascii="Avenir Next" w:hAnsi="Avenir Next"/>
                      <w:sz w:val="16"/>
                      <w:szCs w:val="16"/>
                    </w:rPr>
                    <w:t xml:space="preserve"> </w:t>
                  </w:r>
                  <w:r w:rsidRPr="002278E7">
                    <w:rPr>
                      <w:rFonts w:ascii="Avenir Next" w:hAnsi="Avenir Next"/>
                      <w:sz w:val="16"/>
                      <w:szCs w:val="16"/>
                    </w:rPr>
                    <w:t>Enseñanza en Nutrición y</w:t>
                  </w:r>
                  <w:r>
                    <w:rPr>
                      <w:rFonts w:ascii="Avenir Next" w:hAnsi="Avenir Next"/>
                      <w:sz w:val="16"/>
                      <w:szCs w:val="16"/>
                    </w:rPr>
                    <w:t xml:space="preserve"> </w:t>
                  </w:r>
                  <w:r w:rsidRPr="002278E7">
                    <w:rPr>
                      <w:rFonts w:ascii="Avenir Next" w:hAnsi="Avenir Next"/>
                      <w:sz w:val="16"/>
                      <w:szCs w:val="16"/>
                    </w:rPr>
                    <w:t>Salud.</w:t>
                  </w:r>
                </w:p>
                <w:p w14:paraId="24ACBB2B" w14:textId="77777777" w:rsidR="00454FAC" w:rsidRPr="00FB1FBE" w:rsidRDefault="00454FAC" w:rsidP="00454FAC">
                  <w:pPr>
                    <w:jc w:val="both"/>
                    <w:rPr>
                      <w:rFonts w:ascii="Avenir Next" w:hAnsi="Avenir Next"/>
                      <w:b/>
                      <w:bCs/>
                      <w:sz w:val="16"/>
                      <w:szCs w:val="16"/>
                    </w:rPr>
                  </w:pPr>
                  <w:r w:rsidRPr="00FB1FBE">
                    <w:rPr>
                      <w:rFonts w:ascii="Avenir Next" w:hAnsi="Avenir Next"/>
                      <w:b/>
                      <w:bCs/>
                      <w:sz w:val="16"/>
                      <w:szCs w:val="16"/>
                    </w:rPr>
                    <w:t>Mariela Agüero Barrantes</w:t>
                  </w:r>
                  <w:r>
                    <w:rPr>
                      <w:rFonts w:ascii="Avenir Next" w:hAnsi="Avenir Next"/>
                      <w:b/>
                      <w:bCs/>
                      <w:sz w:val="16"/>
                      <w:szCs w:val="16"/>
                    </w:rPr>
                    <w:t xml:space="preserve">: </w:t>
                  </w:r>
                  <w:r w:rsidRPr="00874B9D">
                    <w:rPr>
                      <w:rFonts w:ascii="Avenir Next" w:hAnsi="Avenir Next"/>
                      <w:sz w:val="16"/>
                      <w:szCs w:val="16"/>
                    </w:rPr>
                    <w:t>M</w:t>
                  </w:r>
                  <w:r w:rsidRPr="00375A90">
                    <w:rPr>
                      <w:rFonts w:ascii="Avenir Next" w:hAnsi="Avenir Next"/>
                      <w:sz w:val="16"/>
                      <w:szCs w:val="16"/>
                    </w:rPr>
                    <w:t>.S. en Conservación textil,</w:t>
                  </w:r>
                  <w:r>
                    <w:rPr>
                      <w:rFonts w:ascii="Avenir Next" w:hAnsi="Avenir Next"/>
                      <w:sz w:val="16"/>
                      <w:szCs w:val="16"/>
                    </w:rPr>
                    <w:t xml:space="preserve"> </w:t>
                  </w:r>
                  <w:r w:rsidRPr="00375A90">
                    <w:rPr>
                      <w:rFonts w:ascii="Avenir Next" w:hAnsi="Avenir Next"/>
                      <w:sz w:val="16"/>
                      <w:szCs w:val="16"/>
                    </w:rPr>
                    <w:t>historia de la moda y</w:t>
                  </w:r>
                  <w:r>
                    <w:rPr>
                      <w:rFonts w:ascii="Avenir Next" w:hAnsi="Avenir Next"/>
                      <w:sz w:val="16"/>
                      <w:szCs w:val="16"/>
                    </w:rPr>
                    <w:t xml:space="preserve"> </w:t>
                  </w:r>
                  <w:r w:rsidRPr="00375A90">
                    <w:rPr>
                      <w:rFonts w:ascii="Avenir Next" w:hAnsi="Avenir Next"/>
                      <w:sz w:val="16"/>
                      <w:szCs w:val="16"/>
                    </w:rPr>
                    <w:t>análisis cultural en The</w:t>
                  </w:r>
                  <w:r>
                    <w:rPr>
                      <w:rFonts w:ascii="Avenir Next" w:hAnsi="Avenir Next"/>
                      <w:sz w:val="16"/>
                      <w:szCs w:val="16"/>
                    </w:rPr>
                    <w:t xml:space="preserve"> </w:t>
                  </w:r>
                  <w:r w:rsidRPr="00375A90">
                    <w:rPr>
                      <w:rFonts w:ascii="Avenir Next" w:hAnsi="Avenir Next"/>
                      <w:sz w:val="16"/>
                      <w:szCs w:val="16"/>
                    </w:rPr>
                    <w:t>University of Rhode Island.</w:t>
                  </w:r>
                  <w:r>
                    <w:rPr>
                      <w:rFonts w:ascii="Avenir Next" w:hAnsi="Avenir Next"/>
                      <w:sz w:val="16"/>
                      <w:szCs w:val="16"/>
                    </w:rPr>
                    <w:t xml:space="preserve"> </w:t>
                  </w:r>
                  <w:r w:rsidRPr="00375A90">
                    <w:rPr>
                      <w:rFonts w:ascii="Avenir Next" w:hAnsi="Avenir Next"/>
                      <w:sz w:val="16"/>
                      <w:szCs w:val="16"/>
                    </w:rPr>
                    <w:t>Asistente de colecciones,</w:t>
                  </w:r>
                  <w:r>
                    <w:rPr>
                      <w:rFonts w:ascii="Avenir Next" w:hAnsi="Avenir Next"/>
                      <w:sz w:val="16"/>
                      <w:szCs w:val="16"/>
                    </w:rPr>
                    <w:t xml:space="preserve"> </w:t>
                  </w:r>
                  <w:r w:rsidRPr="00375A90">
                    <w:rPr>
                      <w:rFonts w:ascii="Avenir Next" w:hAnsi="Avenir Next"/>
                      <w:sz w:val="16"/>
                      <w:szCs w:val="16"/>
                    </w:rPr>
                    <w:t>Museos del Banco Central</w:t>
                  </w:r>
                  <w:r>
                    <w:rPr>
                      <w:rFonts w:ascii="Avenir Next" w:hAnsi="Avenir Next"/>
                      <w:sz w:val="16"/>
                      <w:szCs w:val="16"/>
                    </w:rPr>
                    <w:t xml:space="preserve"> </w:t>
                  </w:r>
                  <w:r w:rsidRPr="00375A90">
                    <w:rPr>
                      <w:rFonts w:ascii="Avenir Next" w:hAnsi="Avenir Next"/>
                      <w:sz w:val="16"/>
                      <w:szCs w:val="16"/>
                    </w:rPr>
                    <w:t>de Costa Rica.</w:t>
                  </w:r>
                </w:p>
                <w:p w14:paraId="11952050" w14:textId="77777777" w:rsidR="00454FAC" w:rsidRDefault="00454FAC" w:rsidP="00454FAC">
                  <w:pPr>
                    <w:jc w:val="both"/>
                    <w:rPr>
                      <w:rFonts w:ascii="Avenir Next" w:hAnsi="Avenir Next"/>
                      <w:sz w:val="16"/>
                      <w:szCs w:val="16"/>
                    </w:rPr>
                  </w:pPr>
                  <w:r w:rsidRPr="00FB1FBE">
                    <w:rPr>
                      <w:rFonts w:ascii="Avenir Next" w:hAnsi="Avenir Next"/>
                      <w:b/>
                      <w:bCs/>
                      <w:sz w:val="16"/>
                      <w:szCs w:val="16"/>
                    </w:rPr>
                    <w:t>Marco Arce Cerdas</w:t>
                  </w:r>
                  <w:r>
                    <w:rPr>
                      <w:rFonts w:ascii="Avenir Next" w:hAnsi="Avenir Next"/>
                      <w:b/>
                      <w:bCs/>
                      <w:sz w:val="16"/>
                      <w:szCs w:val="16"/>
                    </w:rPr>
                    <w:t xml:space="preserve">: </w:t>
                  </w:r>
                  <w:r w:rsidRPr="00375A90">
                    <w:rPr>
                      <w:rFonts w:ascii="Avenir Next" w:hAnsi="Avenir Next"/>
                      <w:sz w:val="16"/>
                      <w:szCs w:val="16"/>
                    </w:rPr>
                    <w:t>Lic. en Antropología con</w:t>
                  </w:r>
                  <w:r>
                    <w:rPr>
                      <w:rFonts w:ascii="Avenir Next" w:hAnsi="Avenir Next"/>
                      <w:sz w:val="16"/>
                      <w:szCs w:val="16"/>
                    </w:rPr>
                    <w:t xml:space="preserve"> </w:t>
                  </w:r>
                  <w:r w:rsidRPr="00375A90">
                    <w:rPr>
                      <w:rFonts w:ascii="Avenir Next" w:hAnsi="Avenir Next"/>
                      <w:sz w:val="16"/>
                      <w:szCs w:val="16"/>
                    </w:rPr>
                    <w:t>énfasis en Arqueología</w:t>
                  </w:r>
                  <w:r>
                    <w:rPr>
                      <w:rFonts w:ascii="Avenir Next" w:hAnsi="Avenir Next"/>
                      <w:sz w:val="16"/>
                      <w:szCs w:val="16"/>
                    </w:rPr>
                    <w:t xml:space="preserve">. Egresado </w:t>
                  </w:r>
                  <w:r w:rsidRPr="00375A90">
                    <w:rPr>
                      <w:rFonts w:ascii="Avenir Next" w:hAnsi="Avenir Next"/>
                      <w:sz w:val="16"/>
                      <w:szCs w:val="16"/>
                    </w:rPr>
                    <w:t>de la Maestría en Sistemas</w:t>
                  </w:r>
                  <w:r>
                    <w:rPr>
                      <w:rFonts w:ascii="Avenir Next" w:hAnsi="Avenir Next"/>
                      <w:sz w:val="16"/>
                      <w:szCs w:val="16"/>
                    </w:rPr>
                    <w:t xml:space="preserve"> </w:t>
                  </w:r>
                  <w:r w:rsidRPr="00375A90">
                    <w:rPr>
                      <w:rFonts w:ascii="Avenir Next" w:hAnsi="Avenir Next"/>
                      <w:sz w:val="16"/>
                      <w:szCs w:val="16"/>
                    </w:rPr>
                    <w:t>de Información Geográfica</w:t>
                  </w:r>
                  <w:r>
                    <w:rPr>
                      <w:rFonts w:ascii="Avenir Next" w:hAnsi="Avenir Next"/>
                      <w:sz w:val="16"/>
                      <w:szCs w:val="16"/>
                    </w:rPr>
                    <w:t xml:space="preserve"> </w:t>
                  </w:r>
                  <w:r w:rsidRPr="00375A90">
                    <w:rPr>
                      <w:rFonts w:ascii="Avenir Next" w:hAnsi="Avenir Next"/>
                      <w:sz w:val="16"/>
                      <w:szCs w:val="16"/>
                    </w:rPr>
                    <w:t>y Teledetección de la</w:t>
                  </w:r>
                  <w:r>
                    <w:rPr>
                      <w:rFonts w:ascii="Avenir Next" w:hAnsi="Avenir Next"/>
                      <w:sz w:val="16"/>
                      <w:szCs w:val="16"/>
                    </w:rPr>
                    <w:t xml:space="preserve"> </w:t>
                  </w:r>
                  <w:r w:rsidRPr="00375A90">
                    <w:rPr>
                      <w:rFonts w:ascii="Avenir Next" w:hAnsi="Avenir Next"/>
                      <w:sz w:val="16"/>
                      <w:szCs w:val="16"/>
                    </w:rPr>
                    <w:t>Universidad de Costa Rica</w:t>
                  </w:r>
                  <w:r>
                    <w:rPr>
                      <w:rFonts w:ascii="Avenir Next" w:hAnsi="Avenir Next"/>
                      <w:sz w:val="16"/>
                      <w:szCs w:val="16"/>
                    </w:rPr>
                    <w:t xml:space="preserve"> </w:t>
                  </w:r>
                  <w:r w:rsidRPr="00375A90">
                    <w:rPr>
                      <w:rFonts w:ascii="Avenir Next" w:hAnsi="Avenir Next"/>
                      <w:sz w:val="16"/>
                      <w:szCs w:val="16"/>
                    </w:rPr>
                    <w:t>y la Universidad Nacional.</w:t>
                  </w:r>
                  <w:r>
                    <w:rPr>
                      <w:rFonts w:ascii="Avenir Next" w:hAnsi="Avenir Next"/>
                      <w:sz w:val="16"/>
                      <w:szCs w:val="16"/>
                    </w:rPr>
                    <w:t xml:space="preserve"> </w:t>
                  </w:r>
                </w:p>
                <w:p w14:paraId="21055FAD" w14:textId="77777777" w:rsidR="00454FAC" w:rsidRPr="00FB1FBE" w:rsidRDefault="00454FAC" w:rsidP="00454FAC">
                  <w:pPr>
                    <w:jc w:val="both"/>
                    <w:rPr>
                      <w:rFonts w:ascii="Avenir Next" w:hAnsi="Avenir Next"/>
                      <w:b/>
                      <w:bCs/>
                      <w:sz w:val="16"/>
                      <w:szCs w:val="16"/>
                    </w:rPr>
                  </w:pPr>
                  <w:r w:rsidRPr="00FB1FBE">
                    <w:rPr>
                      <w:rFonts w:ascii="Avenir Next" w:hAnsi="Avenir Next"/>
                      <w:b/>
                      <w:bCs/>
                      <w:sz w:val="16"/>
                      <w:szCs w:val="16"/>
                    </w:rPr>
                    <w:t>María José Monge Picado</w:t>
                  </w:r>
                  <w:r>
                    <w:rPr>
                      <w:rFonts w:ascii="Avenir Next" w:hAnsi="Avenir Next"/>
                      <w:b/>
                      <w:bCs/>
                      <w:sz w:val="16"/>
                      <w:szCs w:val="16"/>
                    </w:rPr>
                    <w:t xml:space="preserve">: </w:t>
                  </w:r>
                  <w:r w:rsidRPr="00375A90">
                    <w:rPr>
                      <w:rFonts w:ascii="Avenir Next" w:hAnsi="Avenir Next"/>
                      <w:sz w:val="16"/>
                      <w:szCs w:val="16"/>
                    </w:rPr>
                    <w:t>M</w:t>
                  </w:r>
                  <w:r>
                    <w:rPr>
                      <w:rFonts w:ascii="Avenir Next" w:hAnsi="Avenir Next"/>
                      <w:sz w:val="16"/>
                      <w:szCs w:val="16"/>
                    </w:rPr>
                    <w:t>.</w:t>
                  </w:r>
                  <w:r w:rsidRPr="00375A90">
                    <w:rPr>
                      <w:rFonts w:ascii="Avenir Next" w:hAnsi="Avenir Next"/>
                      <w:sz w:val="16"/>
                      <w:szCs w:val="16"/>
                    </w:rPr>
                    <w:t>Sc</w:t>
                  </w:r>
                  <w:r>
                    <w:rPr>
                      <w:rFonts w:ascii="Avenir Next" w:hAnsi="Avenir Next"/>
                      <w:sz w:val="16"/>
                      <w:szCs w:val="16"/>
                    </w:rPr>
                    <w:t>.</w:t>
                  </w:r>
                  <w:r w:rsidRPr="00375A90">
                    <w:rPr>
                      <w:rFonts w:ascii="Avenir Next" w:hAnsi="Avenir Next"/>
                      <w:sz w:val="16"/>
                      <w:szCs w:val="16"/>
                    </w:rPr>
                    <w:t xml:space="preserve"> en Antropología y</w:t>
                  </w:r>
                  <w:r>
                    <w:rPr>
                      <w:rFonts w:ascii="Avenir Next" w:hAnsi="Avenir Next"/>
                      <w:sz w:val="16"/>
                      <w:szCs w:val="16"/>
                    </w:rPr>
                    <w:t xml:space="preserve"> </w:t>
                  </w:r>
                  <w:r w:rsidRPr="00375A90">
                    <w:rPr>
                      <w:rFonts w:ascii="Avenir Next" w:hAnsi="Avenir Next"/>
                      <w:sz w:val="16"/>
                      <w:szCs w:val="16"/>
                    </w:rPr>
                    <w:t>Bachiller en Historia del</w:t>
                  </w:r>
                  <w:r>
                    <w:rPr>
                      <w:rFonts w:ascii="Avenir Next" w:hAnsi="Avenir Next"/>
                      <w:sz w:val="16"/>
                      <w:szCs w:val="16"/>
                    </w:rPr>
                    <w:t xml:space="preserve"> </w:t>
                  </w:r>
                  <w:r w:rsidRPr="00375A90">
                    <w:rPr>
                      <w:rFonts w:ascii="Avenir Next" w:hAnsi="Avenir Next"/>
                      <w:sz w:val="16"/>
                      <w:szCs w:val="16"/>
                    </w:rPr>
                    <w:t>Arte por la Universidad</w:t>
                  </w:r>
                  <w:r>
                    <w:rPr>
                      <w:rFonts w:ascii="Avenir Next" w:hAnsi="Avenir Next"/>
                      <w:sz w:val="16"/>
                      <w:szCs w:val="16"/>
                    </w:rPr>
                    <w:t xml:space="preserve"> </w:t>
                  </w:r>
                  <w:r w:rsidRPr="00375A90">
                    <w:rPr>
                      <w:rFonts w:ascii="Avenir Next" w:hAnsi="Avenir Next"/>
                      <w:sz w:val="16"/>
                      <w:szCs w:val="16"/>
                    </w:rPr>
                    <w:t>de Costa Rica. Publica</w:t>
                  </w:r>
                  <w:r>
                    <w:rPr>
                      <w:rFonts w:ascii="Avenir Next" w:hAnsi="Avenir Next"/>
                      <w:sz w:val="16"/>
                      <w:szCs w:val="16"/>
                    </w:rPr>
                    <w:t xml:space="preserve"> </w:t>
                  </w:r>
                  <w:r w:rsidRPr="00375A90">
                    <w:rPr>
                      <w:rFonts w:ascii="Avenir Next" w:hAnsi="Avenir Next"/>
                      <w:sz w:val="16"/>
                      <w:szCs w:val="16"/>
                    </w:rPr>
                    <w:t>sobre arte costarricense</w:t>
                  </w:r>
                  <w:r>
                    <w:rPr>
                      <w:rFonts w:ascii="Avenir Next" w:hAnsi="Avenir Next"/>
                      <w:sz w:val="16"/>
                      <w:szCs w:val="16"/>
                    </w:rPr>
                    <w:t xml:space="preserve"> </w:t>
                  </w:r>
                  <w:r w:rsidRPr="00375A90">
                    <w:rPr>
                      <w:rFonts w:ascii="Avenir Next" w:hAnsi="Avenir Next"/>
                      <w:sz w:val="16"/>
                      <w:szCs w:val="16"/>
                    </w:rPr>
                    <w:t>contemporáneo en</w:t>
                  </w:r>
                  <w:r>
                    <w:rPr>
                      <w:rFonts w:ascii="Avenir Next" w:hAnsi="Avenir Next"/>
                      <w:sz w:val="16"/>
                      <w:szCs w:val="16"/>
                    </w:rPr>
                    <w:t xml:space="preserve"> </w:t>
                  </w:r>
                  <w:r w:rsidRPr="00375A90">
                    <w:rPr>
                      <w:rFonts w:ascii="Avenir Next" w:hAnsi="Avenir Next"/>
                      <w:sz w:val="16"/>
                      <w:szCs w:val="16"/>
                    </w:rPr>
                    <w:t>revistas y catálogos</w:t>
                  </w:r>
                  <w:r>
                    <w:rPr>
                      <w:rFonts w:ascii="Avenir Next" w:hAnsi="Avenir Next"/>
                      <w:sz w:val="16"/>
                      <w:szCs w:val="16"/>
                    </w:rPr>
                    <w:t xml:space="preserve"> </w:t>
                  </w:r>
                  <w:r w:rsidRPr="00375A90">
                    <w:rPr>
                      <w:rFonts w:ascii="Avenir Next" w:hAnsi="Avenir Next"/>
                      <w:sz w:val="16"/>
                      <w:szCs w:val="16"/>
                    </w:rPr>
                    <w:t>especializados.</w:t>
                  </w:r>
                  <w:r>
                    <w:rPr>
                      <w:rFonts w:ascii="Avenir Next" w:hAnsi="Avenir Next"/>
                      <w:sz w:val="16"/>
                      <w:szCs w:val="16"/>
                    </w:rPr>
                    <w:t xml:space="preserve"> </w:t>
                  </w:r>
                  <w:r w:rsidRPr="00375A90">
                    <w:rPr>
                      <w:rFonts w:ascii="Avenir Next" w:hAnsi="Avenir Next"/>
                      <w:sz w:val="16"/>
                      <w:szCs w:val="16"/>
                    </w:rPr>
                    <w:t>Es</w:t>
                  </w:r>
                  <w:r>
                    <w:rPr>
                      <w:rFonts w:ascii="Avenir Next" w:hAnsi="Avenir Next"/>
                      <w:sz w:val="16"/>
                      <w:szCs w:val="16"/>
                    </w:rPr>
                    <w:t xml:space="preserve"> </w:t>
                  </w:r>
                  <w:r w:rsidRPr="00375A90">
                    <w:rPr>
                      <w:rFonts w:ascii="Avenir Next" w:hAnsi="Avenir Next"/>
                      <w:sz w:val="16"/>
                      <w:szCs w:val="16"/>
                    </w:rPr>
                    <w:t>Premio Nacional de</w:t>
                  </w:r>
                  <w:r>
                    <w:rPr>
                      <w:rFonts w:ascii="Avenir Next" w:hAnsi="Avenir Next"/>
                      <w:sz w:val="16"/>
                      <w:szCs w:val="16"/>
                    </w:rPr>
                    <w:t xml:space="preserve"> </w:t>
                  </w:r>
                  <w:r w:rsidRPr="00375A90">
                    <w:rPr>
                      <w:rFonts w:ascii="Avenir Next" w:hAnsi="Avenir Next"/>
                      <w:sz w:val="16"/>
                      <w:szCs w:val="16"/>
                    </w:rPr>
                    <w:t>Cultura Aquileo J.</w:t>
                  </w:r>
                  <w:r>
                    <w:rPr>
                      <w:rFonts w:ascii="Avenir Next" w:hAnsi="Avenir Next"/>
                      <w:sz w:val="16"/>
                      <w:szCs w:val="16"/>
                    </w:rPr>
                    <w:t xml:space="preserve"> </w:t>
                  </w:r>
                  <w:r w:rsidRPr="00375A90">
                    <w:rPr>
                      <w:rFonts w:ascii="Avenir Next" w:hAnsi="Avenir Next"/>
                      <w:sz w:val="16"/>
                      <w:szCs w:val="16"/>
                    </w:rPr>
                    <w:t>Echeverría en Ensayo.</w:t>
                  </w:r>
                </w:p>
                <w:p w14:paraId="663435AE" w14:textId="77777777" w:rsidR="00454FAC" w:rsidRDefault="00454FAC" w:rsidP="00454FAC">
                  <w:pPr>
                    <w:jc w:val="both"/>
                    <w:rPr>
                      <w:rFonts w:ascii="Avenir Next" w:hAnsi="Avenir Next"/>
                      <w:sz w:val="16"/>
                      <w:szCs w:val="16"/>
                    </w:rPr>
                  </w:pPr>
                  <w:r w:rsidRPr="00FB1FBE">
                    <w:rPr>
                      <w:rFonts w:ascii="Avenir Next" w:hAnsi="Avenir Next"/>
                      <w:b/>
                      <w:bCs/>
                      <w:sz w:val="16"/>
                      <w:szCs w:val="16"/>
                    </w:rPr>
                    <w:t>Mauricio Redondo-Solano</w:t>
                  </w:r>
                  <w:r>
                    <w:rPr>
                      <w:rFonts w:ascii="Avenir Next" w:hAnsi="Avenir Next"/>
                      <w:sz w:val="16"/>
                      <w:szCs w:val="16"/>
                    </w:rPr>
                    <w:t xml:space="preserve">: </w:t>
                  </w:r>
                  <w:r w:rsidRPr="00FD7FAD">
                    <w:rPr>
                      <w:rFonts w:ascii="Avenir Next" w:hAnsi="Avenir Next"/>
                      <w:sz w:val="16"/>
                      <w:szCs w:val="16"/>
                    </w:rPr>
                    <w:t>Ph.D. Microbiólogo y</w:t>
                  </w:r>
                  <w:r>
                    <w:rPr>
                      <w:rFonts w:ascii="Avenir Next" w:hAnsi="Avenir Next"/>
                      <w:sz w:val="16"/>
                      <w:szCs w:val="16"/>
                    </w:rPr>
                    <w:t xml:space="preserve"> </w:t>
                  </w:r>
                  <w:r w:rsidRPr="00FD7FAD">
                    <w:rPr>
                      <w:rFonts w:ascii="Avenir Next" w:hAnsi="Avenir Next"/>
                      <w:sz w:val="16"/>
                      <w:szCs w:val="16"/>
                    </w:rPr>
                    <w:t>Químico Clínico de la</w:t>
                  </w:r>
                  <w:r>
                    <w:rPr>
                      <w:rFonts w:ascii="Avenir Next" w:hAnsi="Avenir Next"/>
                      <w:sz w:val="16"/>
                      <w:szCs w:val="16"/>
                    </w:rPr>
                    <w:t xml:space="preserve"> </w:t>
                  </w:r>
                  <w:r w:rsidRPr="00FD7FAD">
                    <w:rPr>
                      <w:rFonts w:ascii="Avenir Next" w:hAnsi="Avenir Next"/>
                      <w:sz w:val="16"/>
                      <w:szCs w:val="16"/>
                    </w:rPr>
                    <w:t>Universidad de Costa</w:t>
                  </w:r>
                  <w:r>
                    <w:rPr>
                      <w:rFonts w:ascii="Avenir Next" w:hAnsi="Avenir Next"/>
                      <w:sz w:val="16"/>
                      <w:szCs w:val="16"/>
                    </w:rPr>
                    <w:t xml:space="preserve"> </w:t>
                  </w:r>
                  <w:r w:rsidRPr="00FD7FAD">
                    <w:rPr>
                      <w:rFonts w:ascii="Avenir Next" w:hAnsi="Avenir Next"/>
                      <w:sz w:val="16"/>
                      <w:szCs w:val="16"/>
                    </w:rPr>
                    <w:t>Rica. Maestría y</w:t>
                  </w:r>
                  <w:r>
                    <w:rPr>
                      <w:rFonts w:ascii="Avenir Next" w:hAnsi="Avenir Next"/>
                      <w:sz w:val="16"/>
                      <w:szCs w:val="16"/>
                    </w:rPr>
                    <w:t xml:space="preserve"> </w:t>
                  </w:r>
                  <w:r w:rsidRPr="00FD7FAD">
                    <w:rPr>
                      <w:rFonts w:ascii="Avenir Next" w:hAnsi="Avenir Next"/>
                      <w:sz w:val="16"/>
                      <w:szCs w:val="16"/>
                    </w:rPr>
                    <w:t>Doctorado en Ciencia y</w:t>
                  </w:r>
                  <w:r>
                    <w:rPr>
                      <w:rFonts w:ascii="Avenir Next" w:hAnsi="Avenir Next"/>
                      <w:sz w:val="16"/>
                      <w:szCs w:val="16"/>
                    </w:rPr>
                    <w:t xml:space="preserve"> </w:t>
                  </w:r>
                  <w:r w:rsidRPr="00FD7FAD">
                    <w:rPr>
                      <w:rFonts w:ascii="Avenir Next" w:hAnsi="Avenir Next"/>
                      <w:sz w:val="16"/>
                      <w:szCs w:val="16"/>
                    </w:rPr>
                    <w:t>Tecnología de los</w:t>
                  </w:r>
                  <w:r>
                    <w:rPr>
                      <w:rFonts w:ascii="Avenir Next" w:hAnsi="Avenir Next"/>
                      <w:sz w:val="16"/>
                      <w:szCs w:val="16"/>
                    </w:rPr>
                    <w:t xml:space="preserve"> </w:t>
                  </w:r>
                  <w:r w:rsidRPr="00FD7FAD">
                    <w:rPr>
                      <w:rFonts w:ascii="Avenir Next" w:hAnsi="Avenir Next"/>
                      <w:sz w:val="16"/>
                      <w:szCs w:val="16"/>
                    </w:rPr>
                    <w:t>Alimentos, Universidad</w:t>
                  </w:r>
                  <w:r>
                    <w:rPr>
                      <w:rFonts w:ascii="Avenir Next" w:hAnsi="Avenir Next"/>
                      <w:sz w:val="16"/>
                      <w:szCs w:val="16"/>
                    </w:rPr>
                    <w:t xml:space="preserve"> </w:t>
                  </w:r>
                  <w:r w:rsidRPr="00FD7FAD">
                    <w:rPr>
                      <w:rFonts w:ascii="Avenir Next" w:hAnsi="Avenir Next"/>
                      <w:sz w:val="16"/>
                      <w:szCs w:val="16"/>
                    </w:rPr>
                    <w:t>de Nebraska-Lincoln.</w:t>
                  </w:r>
                  <w:r>
                    <w:rPr>
                      <w:rFonts w:ascii="Avenir Next" w:hAnsi="Avenir Next"/>
                      <w:sz w:val="16"/>
                      <w:szCs w:val="16"/>
                    </w:rPr>
                    <w:t xml:space="preserve"> </w:t>
                  </w:r>
                  <w:r w:rsidRPr="00FD7FAD">
                    <w:rPr>
                      <w:rFonts w:ascii="Avenir Next" w:hAnsi="Avenir Next"/>
                      <w:sz w:val="16"/>
                      <w:szCs w:val="16"/>
                    </w:rPr>
                    <w:t>Docente e investigador</w:t>
                  </w:r>
                  <w:r>
                    <w:rPr>
                      <w:rFonts w:ascii="Avenir Next" w:hAnsi="Avenir Next"/>
                      <w:sz w:val="16"/>
                      <w:szCs w:val="16"/>
                    </w:rPr>
                    <w:t xml:space="preserve"> </w:t>
                  </w:r>
                  <w:r w:rsidRPr="00FD7FAD">
                    <w:rPr>
                      <w:rFonts w:ascii="Avenir Next" w:hAnsi="Avenir Next"/>
                      <w:sz w:val="16"/>
                      <w:szCs w:val="16"/>
                    </w:rPr>
                    <w:t>del Laboratorio de</w:t>
                  </w:r>
                  <w:r>
                    <w:rPr>
                      <w:rFonts w:ascii="Avenir Next" w:hAnsi="Avenir Next"/>
                      <w:sz w:val="16"/>
                      <w:szCs w:val="16"/>
                    </w:rPr>
                    <w:t xml:space="preserve"> </w:t>
                  </w:r>
                  <w:r w:rsidRPr="00FD7FAD">
                    <w:rPr>
                      <w:rFonts w:ascii="Avenir Next" w:hAnsi="Avenir Next"/>
                      <w:sz w:val="16"/>
                      <w:szCs w:val="16"/>
                    </w:rPr>
                    <w:t>Investigación y</w:t>
                  </w:r>
                  <w:r>
                    <w:rPr>
                      <w:rFonts w:ascii="Avenir Next" w:hAnsi="Avenir Next"/>
                      <w:sz w:val="16"/>
                      <w:szCs w:val="16"/>
                    </w:rPr>
                    <w:t xml:space="preserve"> </w:t>
                  </w:r>
                  <w:r w:rsidRPr="00FD7FAD">
                    <w:rPr>
                      <w:rFonts w:ascii="Avenir Next" w:hAnsi="Avenir Next"/>
                      <w:sz w:val="16"/>
                      <w:szCs w:val="16"/>
                    </w:rPr>
                    <w:t>Entrenamiento en</w:t>
                  </w:r>
                  <w:r>
                    <w:rPr>
                      <w:rFonts w:ascii="Avenir Next" w:hAnsi="Avenir Next"/>
                      <w:sz w:val="16"/>
                      <w:szCs w:val="16"/>
                    </w:rPr>
                    <w:t xml:space="preserve"> </w:t>
                  </w:r>
                  <w:r w:rsidRPr="00FD7FAD">
                    <w:rPr>
                      <w:rFonts w:ascii="Avenir Next" w:hAnsi="Avenir Next"/>
                      <w:sz w:val="16"/>
                      <w:szCs w:val="16"/>
                    </w:rPr>
                    <w:t>Microbiología de</w:t>
                  </w:r>
                  <w:r>
                    <w:rPr>
                      <w:rFonts w:ascii="Avenir Next" w:hAnsi="Avenir Next"/>
                      <w:sz w:val="16"/>
                      <w:szCs w:val="16"/>
                    </w:rPr>
                    <w:t xml:space="preserve"> </w:t>
                  </w:r>
                  <w:r w:rsidRPr="00FD7FAD">
                    <w:rPr>
                      <w:rFonts w:ascii="Avenir Next" w:hAnsi="Avenir Next"/>
                      <w:sz w:val="16"/>
                      <w:szCs w:val="16"/>
                    </w:rPr>
                    <w:t>Alimentos</w:t>
                  </w:r>
                  <w:r>
                    <w:rPr>
                      <w:rFonts w:ascii="Avenir Next" w:hAnsi="Avenir Next"/>
                      <w:sz w:val="16"/>
                      <w:szCs w:val="16"/>
                    </w:rPr>
                    <w:t xml:space="preserve">, </w:t>
                  </w:r>
                  <w:r w:rsidRPr="00FD7FAD">
                    <w:rPr>
                      <w:rFonts w:ascii="Avenir Next" w:hAnsi="Avenir Next"/>
                      <w:sz w:val="16"/>
                      <w:szCs w:val="16"/>
                    </w:rPr>
                    <w:t>Facultad de</w:t>
                  </w:r>
                  <w:r>
                    <w:rPr>
                      <w:rFonts w:ascii="Avenir Next" w:hAnsi="Avenir Next"/>
                      <w:sz w:val="16"/>
                      <w:szCs w:val="16"/>
                    </w:rPr>
                    <w:t xml:space="preserve"> </w:t>
                  </w:r>
                  <w:r w:rsidRPr="00FD7FAD">
                    <w:rPr>
                      <w:rFonts w:ascii="Avenir Next" w:hAnsi="Avenir Next"/>
                      <w:sz w:val="16"/>
                      <w:szCs w:val="16"/>
                    </w:rPr>
                    <w:t>Microbiología y del</w:t>
                  </w:r>
                  <w:r>
                    <w:rPr>
                      <w:rFonts w:ascii="Avenir Next" w:hAnsi="Avenir Next"/>
                      <w:sz w:val="16"/>
                      <w:szCs w:val="16"/>
                    </w:rPr>
                    <w:t xml:space="preserve"> </w:t>
                  </w:r>
                  <w:r w:rsidRPr="00FD7FAD">
                    <w:rPr>
                      <w:rFonts w:ascii="Avenir Next" w:hAnsi="Avenir Next"/>
                      <w:sz w:val="16"/>
                      <w:szCs w:val="16"/>
                    </w:rPr>
                    <w:t>Centro</w:t>
                  </w:r>
                  <w:r>
                    <w:rPr>
                      <w:rFonts w:ascii="Avenir Next" w:hAnsi="Avenir Next"/>
                      <w:sz w:val="16"/>
                      <w:szCs w:val="16"/>
                    </w:rPr>
                    <w:t xml:space="preserve"> </w:t>
                  </w:r>
                  <w:r w:rsidRPr="00FD7FAD">
                    <w:rPr>
                      <w:rFonts w:ascii="Avenir Next" w:hAnsi="Avenir Next"/>
                      <w:sz w:val="16"/>
                      <w:szCs w:val="16"/>
                    </w:rPr>
                    <w:t>de Investigación</w:t>
                  </w:r>
                  <w:r>
                    <w:rPr>
                      <w:rFonts w:ascii="Avenir Next" w:hAnsi="Avenir Next"/>
                      <w:sz w:val="16"/>
                      <w:szCs w:val="16"/>
                    </w:rPr>
                    <w:t xml:space="preserve"> </w:t>
                  </w:r>
                  <w:r w:rsidRPr="00FD7FAD">
                    <w:rPr>
                      <w:rFonts w:ascii="Avenir Next" w:hAnsi="Avenir Next"/>
                      <w:sz w:val="16"/>
                      <w:szCs w:val="16"/>
                    </w:rPr>
                    <w:t>en Enfermedades</w:t>
                  </w:r>
                  <w:r>
                    <w:rPr>
                      <w:rFonts w:ascii="Avenir Next" w:hAnsi="Avenir Next"/>
                      <w:sz w:val="16"/>
                      <w:szCs w:val="16"/>
                    </w:rPr>
                    <w:t xml:space="preserve"> </w:t>
                  </w:r>
                  <w:r w:rsidRPr="00FD7FAD">
                    <w:rPr>
                      <w:rFonts w:ascii="Avenir Next" w:hAnsi="Avenir Next"/>
                      <w:sz w:val="16"/>
                      <w:szCs w:val="16"/>
                    </w:rPr>
                    <w:t>Tropicales Universidad de Costa</w:t>
                  </w:r>
                  <w:r>
                    <w:rPr>
                      <w:rFonts w:ascii="Avenir Next" w:hAnsi="Avenir Next"/>
                      <w:sz w:val="16"/>
                      <w:szCs w:val="16"/>
                    </w:rPr>
                    <w:t xml:space="preserve"> </w:t>
                  </w:r>
                  <w:r w:rsidRPr="00FD7FAD">
                    <w:rPr>
                      <w:rFonts w:ascii="Avenir Next" w:hAnsi="Avenir Next"/>
                      <w:sz w:val="16"/>
                      <w:szCs w:val="16"/>
                    </w:rPr>
                    <w:t>Rica.</w:t>
                  </w:r>
                </w:p>
                <w:p w14:paraId="5199D933" w14:textId="77777777" w:rsidR="00454FAC" w:rsidRPr="00FB1FBE" w:rsidRDefault="00454FAC" w:rsidP="00454FAC">
                  <w:pPr>
                    <w:jc w:val="both"/>
                    <w:rPr>
                      <w:rFonts w:ascii="Avenir Next" w:hAnsi="Avenir Next"/>
                      <w:b/>
                      <w:bCs/>
                      <w:sz w:val="16"/>
                      <w:szCs w:val="16"/>
                    </w:rPr>
                  </w:pPr>
                  <w:r w:rsidRPr="00FB1FBE">
                    <w:rPr>
                      <w:rFonts w:ascii="Avenir Next" w:hAnsi="Avenir Next"/>
                      <w:b/>
                      <w:bCs/>
                      <w:sz w:val="16"/>
                      <w:szCs w:val="16"/>
                    </w:rPr>
                    <w:t>Óscar Andrey Herrera-Sancho</w:t>
                  </w:r>
                  <w:r>
                    <w:rPr>
                      <w:rFonts w:ascii="Avenir Next" w:hAnsi="Avenir Next"/>
                      <w:b/>
                      <w:bCs/>
                      <w:sz w:val="16"/>
                      <w:szCs w:val="16"/>
                    </w:rPr>
                    <w:t xml:space="preserve">: </w:t>
                  </w:r>
                  <w:r w:rsidRPr="00FD7FAD">
                    <w:rPr>
                      <w:rFonts w:ascii="Avenir Next" w:hAnsi="Avenir Next"/>
                      <w:sz w:val="16"/>
                      <w:szCs w:val="16"/>
                    </w:rPr>
                    <w:t>Catedrático de la</w:t>
                  </w:r>
                  <w:r>
                    <w:rPr>
                      <w:rFonts w:ascii="Avenir Next" w:hAnsi="Avenir Next"/>
                      <w:sz w:val="16"/>
                      <w:szCs w:val="16"/>
                    </w:rPr>
                    <w:t xml:space="preserve"> </w:t>
                  </w:r>
                  <w:r w:rsidRPr="00FD7FAD">
                    <w:rPr>
                      <w:rFonts w:ascii="Avenir Next" w:hAnsi="Avenir Next"/>
                      <w:sz w:val="16"/>
                      <w:szCs w:val="16"/>
                    </w:rPr>
                    <w:t>Universidad de Costa</w:t>
                  </w:r>
                  <w:r>
                    <w:rPr>
                      <w:rFonts w:ascii="Avenir Next" w:hAnsi="Avenir Next"/>
                      <w:sz w:val="16"/>
                      <w:szCs w:val="16"/>
                    </w:rPr>
                    <w:t xml:space="preserve"> </w:t>
                  </w:r>
                  <w:r w:rsidRPr="00FD7FAD">
                    <w:rPr>
                      <w:rFonts w:ascii="Avenir Next" w:hAnsi="Avenir Next"/>
                      <w:sz w:val="16"/>
                      <w:szCs w:val="16"/>
                    </w:rPr>
                    <w:t>Rica, reconocido por su</w:t>
                  </w:r>
                  <w:r>
                    <w:rPr>
                      <w:rFonts w:ascii="Avenir Next" w:hAnsi="Avenir Next"/>
                      <w:sz w:val="16"/>
                      <w:szCs w:val="16"/>
                    </w:rPr>
                    <w:t xml:space="preserve"> </w:t>
                  </w:r>
                  <w:r w:rsidRPr="00FD7FAD">
                    <w:rPr>
                      <w:rFonts w:ascii="Avenir Next" w:hAnsi="Avenir Next"/>
                      <w:sz w:val="16"/>
                      <w:szCs w:val="16"/>
                    </w:rPr>
                    <w:t>labor en acción social con</w:t>
                  </w:r>
                  <w:r>
                    <w:rPr>
                      <w:rFonts w:ascii="Avenir Next" w:hAnsi="Avenir Next"/>
                      <w:sz w:val="16"/>
                      <w:szCs w:val="16"/>
                    </w:rPr>
                    <w:t xml:space="preserve"> </w:t>
                  </w:r>
                  <w:r w:rsidRPr="00FD7FAD">
                    <w:rPr>
                      <w:rFonts w:ascii="Avenir Next" w:hAnsi="Avenir Next"/>
                      <w:sz w:val="16"/>
                      <w:szCs w:val="16"/>
                    </w:rPr>
                    <w:t>el premio María Eugenia</w:t>
                  </w:r>
                  <w:r>
                    <w:rPr>
                      <w:rFonts w:ascii="Avenir Next" w:hAnsi="Avenir Next"/>
                      <w:sz w:val="16"/>
                      <w:szCs w:val="16"/>
                    </w:rPr>
                    <w:t xml:space="preserve"> </w:t>
                  </w:r>
                  <w:r w:rsidRPr="00FD7FAD">
                    <w:rPr>
                      <w:rFonts w:ascii="Avenir Next" w:hAnsi="Avenir Next"/>
                      <w:sz w:val="16"/>
                      <w:szCs w:val="16"/>
                    </w:rPr>
                    <w:t>Dengo Obregón (Costa</w:t>
                  </w:r>
                  <w:r>
                    <w:rPr>
                      <w:rFonts w:ascii="Avenir Next" w:hAnsi="Avenir Next"/>
                      <w:sz w:val="16"/>
                      <w:szCs w:val="16"/>
                    </w:rPr>
                    <w:t xml:space="preserve"> </w:t>
                  </w:r>
                  <w:r w:rsidRPr="00FD7FAD">
                    <w:rPr>
                      <w:rFonts w:ascii="Avenir Next" w:hAnsi="Avenir Next"/>
                      <w:sz w:val="16"/>
                      <w:szCs w:val="16"/>
                    </w:rPr>
                    <w:t>Rica) y por su trabajo en</w:t>
                  </w:r>
                  <w:r>
                    <w:rPr>
                      <w:rFonts w:ascii="Avenir Next" w:hAnsi="Avenir Next"/>
                      <w:sz w:val="16"/>
                      <w:szCs w:val="16"/>
                    </w:rPr>
                    <w:t xml:space="preserve"> </w:t>
                  </w:r>
                  <w:r w:rsidRPr="00FD7FAD">
                    <w:rPr>
                      <w:rFonts w:ascii="Avenir Next" w:hAnsi="Avenir Next"/>
                      <w:sz w:val="16"/>
                      <w:szCs w:val="16"/>
                    </w:rPr>
                    <w:t>investigación con el</w:t>
                  </w:r>
                  <w:r>
                    <w:rPr>
                      <w:rFonts w:ascii="Avenir Next" w:hAnsi="Avenir Next"/>
                      <w:sz w:val="16"/>
                      <w:szCs w:val="16"/>
                    </w:rPr>
                    <w:t xml:space="preserve"> </w:t>
                  </w:r>
                  <w:r w:rsidRPr="00FD7FAD">
                    <w:rPr>
                      <w:rFonts w:ascii="Avenir Next" w:hAnsi="Avenir Next"/>
                      <w:sz w:val="16"/>
                      <w:szCs w:val="16"/>
                    </w:rPr>
                    <w:t>premio Investigador</w:t>
                  </w:r>
                  <w:r>
                    <w:rPr>
                      <w:rFonts w:ascii="Avenir Next" w:hAnsi="Avenir Next"/>
                      <w:sz w:val="16"/>
                      <w:szCs w:val="16"/>
                    </w:rPr>
                    <w:t xml:space="preserve"> </w:t>
                  </w:r>
                  <w:r w:rsidRPr="00FD7FAD">
                    <w:rPr>
                      <w:rFonts w:ascii="Avenir Next" w:hAnsi="Avenir Next"/>
                      <w:sz w:val="16"/>
                      <w:szCs w:val="16"/>
                    </w:rPr>
                    <w:t>Experimentado de la</w:t>
                  </w:r>
                  <w:r>
                    <w:rPr>
                      <w:rFonts w:ascii="Avenir Next" w:hAnsi="Avenir Next"/>
                      <w:sz w:val="16"/>
                      <w:szCs w:val="16"/>
                    </w:rPr>
                    <w:t xml:space="preserve"> </w:t>
                  </w:r>
                  <w:r w:rsidRPr="00FD7FAD">
                    <w:rPr>
                      <w:rFonts w:ascii="Avenir Next" w:hAnsi="Avenir Next"/>
                      <w:sz w:val="16"/>
                      <w:szCs w:val="16"/>
                    </w:rPr>
                    <w:t>Fundación Alexander von</w:t>
                  </w:r>
                  <w:r>
                    <w:rPr>
                      <w:rFonts w:ascii="Avenir Next" w:hAnsi="Avenir Next"/>
                      <w:sz w:val="16"/>
                      <w:szCs w:val="16"/>
                    </w:rPr>
                    <w:t xml:space="preserve"> </w:t>
                  </w:r>
                  <w:r w:rsidRPr="00FD7FAD">
                    <w:rPr>
                      <w:rFonts w:ascii="Avenir Next" w:hAnsi="Avenir Next"/>
                      <w:sz w:val="16"/>
                      <w:szCs w:val="16"/>
                    </w:rPr>
                    <w:t>Humboldt (Alemania).</w:t>
                  </w:r>
                </w:p>
                <w:p w14:paraId="6932815E" w14:textId="77777777" w:rsidR="00454FAC" w:rsidRDefault="00454FAC" w:rsidP="00454FAC">
                  <w:pPr>
                    <w:jc w:val="both"/>
                    <w:rPr>
                      <w:rFonts w:ascii="Avenir Next" w:hAnsi="Avenir Next"/>
                      <w:sz w:val="16"/>
                      <w:szCs w:val="16"/>
                    </w:rPr>
                  </w:pPr>
                </w:p>
                <w:p w14:paraId="68DD76BF" w14:textId="0A53AAF7" w:rsidR="00454FAC" w:rsidRPr="00454FAC" w:rsidRDefault="00454FAC" w:rsidP="00454FAC">
                  <w:pPr>
                    <w:pStyle w:val="Sinespaciado"/>
                    <w:jc w:val="both"/>
                    <w:rPr>
                      <w:rFonts w:ascii="Avenir Next" w:hAnsi="Avenir Next"/>
                      <w:sz w:val="18"/>
                      <w:szCs w:val="18"/>
                      <w:lang w:val="es-CR"/>
                    </w:rPr>
                  </w:pPr>
                </w:p>
              </w:txbxContent>
            </v:textbox>
            <w10:wrap type="through" anchorx="margin"/>
          </v:shape>
        </w:pict>
      </w:r>
      <w:r w:rsidR="00454FAC" w:rsidRPr="00B6402F">
        <w:rPr>
          <w:rFonts w:ascii="Avenir Next" w:hAnsi="Avenir Next"/>
          <w:b/>
          <w:color w:val="1A1A1A"/>
          <w:sz w:val="18"/>
          <w:szCs w:val="18"/>
          <w:lang w:val="es-ES"/>
        </w:rPr>
        <w:t>RESUMEN</w:t>
      </w:r>
    </w:p>
    <w:p w14:paraId="69A58C1E" w14:textId="77777777" w:rsidR="00454FAC" w:rsidRPr="00454FAC" w:rsidRDefault="00454FAC" w:rsidP="00454FAC">
      <w:pPr>
        <w:pStyle w:val="Sinespaciado"/>
        <w:jc w:val="both"/>
        <w:rPr>
          <w:rFonts w:ascii="Avenir Next" w:eastAsia="TimesNewRomanPS" w:hAnsi="Avenir Next" w:cs="Arial" w:hint="eastAsia"/>
          <w:bCs/>
          <w:sz w:val="18"/>
          <w:szCs w:val="18"/>
          <w:lang w:eastAsia="es-ES"/>
        </w:rPr>
      </w:pPr>
      <w:r w:rsidRPr="00454FAC">
        <w:rPr>
          <w:rFonts w:ascii="Avenir Next" w:eastAsia="TimesNewRomanPS" w:hAnsi="Avenir Next" w:cs="Arial"/>
          <w:bCs/>
          <w:sz w:val="18"/>
          <w:szCs w:val="18"/>
          <w:lang w:eastAsia="es-ES"/>
        </w:rPr>
        <w:t xml:space="preserve">La conservación de las obras de arte es un aspecto fundamental de la inmensidad de la cultura humana y la expresión artística. Se analizaron dos obras en acuarela: </w:t>
      </w:r>
      <w:r w:rsidRPr="00113447">
        <w:rPr>
          <w:rFonts w:ascii="Avenir Next" w:eastAsia="TimesNewRomanPS" w:hAnsi="Avenir Next" w:cs="Arial"/>
          <w:bCs/>
          <w:i/>
          <w:iCs/>
          <w:sz w:val="18"/>
          <w:szCs w:val="18"/>
          <w:lang w:eastAsia="es-ES"/>
        </w:rPr>
        <w:t>Paisaje con casa campesina</w:t>
      </w:r>
      <w:r w:rsidRPr="00454FAC">
        <w:rPr>
          <w:rFonts w:ascii="Avenir Next" w:eastAsia="TimesNewRomanPS" w:hAnsi="Avenir Next" w:cs="Arial"/>
          <w:bCs/>
          <w:sz w:val="18"/>
          <w:szCs w:val="18"/>
          <w:lang w:eastAsia="es-ES"/>
        </w:rPr>
        <w:t xml:space="preserve"> y </w:t>
      </w:r>
      <w:r w:rsidRPr="00113447">
        <w:rPr>
          <w:rFonts w:ascii="Avenir Next" w:eastAsia="TimesNewRomanPS" w:hAnsi="Avenir Next" w:cs="Arial"/>
          <w:bCs/>
          <w:i/>
          <w:iCs/>
          <w:sz w:val="18"/>
          <w:szCs w:val="18"/>
          <w:lang w:eastAsia="es-ES"/>
        </w:rPr>
        <w:t>El puente</w:t>
      </w:r>
      <w:r w:rsidRPr="00454FAC">
        <w:rPr>
          <w:rFonts w:ascii="Avenir Next" w:eastAsia="TimesNewRomanPS" w:hAnsi="Avenir Next" w:cs="Arial"/>
          <w:bCs/>
          <w:sz w:val="18"/>
          <w:szCs w:val="18"/>
          <w:lang w:eastAsia="es-ES"/>
        </w:rPr>
        <w:t xml:space="preserve">, pertenecientes a la colección del Banco Central de Costa Rica atribuidas al artista nacional Fausto Pacheco Hernández. Particularmente, el acercamiento exclusivo para estudiar dichas obras de arte está caracterizado por ser un análisis múltiple, donde se aplicaron técnicas no invasivas como la fotografía multiespectral. A partir de dicha técnica y el uso de herramientas computacionales novedosas como RegionsOfInterest y Golden Artists Colors se determinó información sobre la paleta pictórica y el proceso creativo del artista. El análisis múltiple permitió identificar diferentes patrones que podrían estar asociados con el crecimiento microbiano. Este estudio pionero corresponde al punto de partida para establecer indicadores que permitan, en el futuro, valorar la posible autenticidad de las pinturas con base en el establecimiento de la paleta pictórica del artista, los materiales utilizados, los procesos creativos y el contexto histórico. La aplicación de la ciencia para conocer las características de los materiales contribuye significativamente a determinar la manera más eficiente para conservar el patrimonio cultural. </w:t>
      </w:r>
    </w:p>
    <w:p w14:paraId="0EFD3B8F" w14:textId="77777777" w:rsidR="00454FAC" w:rsidRPr="00454FAC" w:rsidRDefault="00454FAC" w:rsidP="00454FAC">
      <w:pPr>
        <w:pStyle w:val="Sinespaciado"/>
        <w:jc w:val="both"/>
        <w:rPr>
          <w:rFonts w:ascii="Avenir Next" w:eastAsia="TimesNewRomanPS" w:hAnsi="Avenir Next" w:cs="Arial" w:hint="eastAsia"/>
          <w:bCs/>
          <w:sz w:val="18"/>
          <w:szCs w:val="18"/>
          <w:lang w:eastAsia="es-ES"/>
        </w:rPr>
      </w:pPr>
    </w:p>
    <w:p w14:paraId="4E256999" w14:textId="23E29C91" w:rsidR="00454FAC" w:rsidRDefault="00454FAC" w:rsidP="00454FAC">
      <w:pPr>
        <w:pStyle w:val="Sinespaciado"/>
        <w:jc w:val="both"/>
        <w:rPr>
          <w:rFonts w:ascii="Avenir Next" w:hAnsi="Avenir Next"/>
          <w:b/>
          <w:sz w:val="18"/>
          <w:lang w:val="es-CR"/>
        </w:rPr>
      </w:pPr>
      <w:r w:rsidRPr="00454FAC">
        <w:rPr>
          <w:rFonts w:ascii="Avenir Next" w:eastAsia="TimesNewRomanPS" w:hAnsi="Avenir Next" w:cs="Arial"/>
          <w:b/>
          <w:bCs/>
          <w:sz w:val="18"/>
          <w:szCs w:val="18"/>
          <w:lang w:eastAsia="es-ES"/>
        </w:rPr>
        <w:t>Palabras clave:</w:t>
      </w:r>
      <w:r w:rsidRPr="00454FAC">
        <w:rPr>
          <w:rFonts w:ascii="Avenir Next" w:eastAsia="TimesNewRomanPS" w:hAnsi="Avenir Next" w:cs="Arial"/>
          <w:bCs/>
          <w:sz w:val="18"/>
          <w:szCs w:val="18"/>
          <w:lang w:eastAsia="es-ES"/>
        </w:rPr>
        <w:t xml:space="preserve"> acuarelas; biodeterioro; estado de conservación; fotografía multiespectral; herramientas computacionales; patrimonio cultural.</w:t>
      </w:r>
    </w:p>
    <w:p w14:paraId="0C50FD95" w14:textId="77777777" w:rsidR="00454FAC" w:rsidRDefault="00454FAC" w:rsidP="00F911F2">
      <w:pPr>
        <w:pStyle w:val="Sinespaciado"/>
        <w:rPr>
          <w:rFonts w:ascii="Avenir Next" w:hAnsi="Avenir Next"/>
          <w:b/>
          <w:sz w:val="18"/>
          <w:lang w:val="es-CR"/>
        </w:rPr>
      </w:pPr>
    </w:p>
    <w:p w14:paraId="1A1CFF4B" w14:textId="77777777" w:rsidR="00454FAC" w:rsidRDefault="00454FAC" w:rsidP="00F911F2">
      <w:pPr>
        <w:pStyle w:val="Sinespaciado"/>
        <w:rPr>
          <w:rFonts w:ascii="Avenir Next" w:hAnsi="Avenir Next"/>
          <w:b/>
          <w:sz w:val="18"/>
          <w:lang w:val="es-CR"/>
        </w:rPr>
      </w:pPr>
    </w:p>
    <w:p w14:paraId="657AA2A1" w14:textId="77777777" w:rsidR="00454FAC" w:rsidRDefault="00454FAC" w:rsidP="00F911F2">
      <w:pPr>
        <w:pStyle w:val="Sinespaciado"/>
        <w:rPr>
          <w:rFonts w:ascii="Avenir Next" w:hAnsi="Avenir Next"/>
          <w:b/>
          <w:sz w:val="18"/>
          <w:lang w:val="es-CR"/>
        </w:rPr>
      </w:pPr>
    </w:p>
    <w:p w14:paraId="2CBDF825" w14:textId="77777777" w:rsidR="00454FAC" w:rsidRDefault="00454FAC" w:rsidP="00F911F2">
      <w:pPr>
        <w:pStyle w:val="Sinespaciado"/>
        <w:rPr>
          <w:rFonts w:ascii="Avenir Next" w:hAnsi="Avenir Next"/>
          <w:b/>
          <w:sz w:val="18"/>
          <w:lang w:val="es-CR"/>
        </w:rPr>
      </w:pPr>
    </w:p>
    <w:p w14:paraId="0EE56E5F" w14:textId="77777777" w:rsidR="00454FAC" w:rsidRDefault="00454FAC" w:rsidP="00F911F2">
      <w:pPr>
        <w:pStyle w:val="Sinespaciado"/>
        <w:rPr>
          <w:rFonts w:ascii="Avenir Next" w:hAnsi="Avenir Next"/>
          <w:b/>
          <w:sz w:val="18"/>
          <w:lang w:val="es-CR"/>
        </w:rPr>
      </w:pPr>
    </w:p>
    <w:p w14:paraId="24BFE496" w14:textId="77777777" w:rsidR="00454FAC" w:rsidRDefault="00454FAC" w:rsidP="00F911F2">
      <w:pPr>
        <w:pStyle w:val="Sinespaciado"/>
        <w:rPr>
          <w:rFonts w:ascii="Avenir Next" w:hAnsi="Avenir Next"/>
          <w:b/>
          <w:sz w:val="18"/>
          <w:lang w:val="es-CR"/>
        </w:rPr>
      </w:pPr>
    </w:p>
    <w:p w14:paraId="70B10A5B" w14:textId="77777777" w:rsidR="00454FAC" w:rsidRDefault="00454FAC" w:rsidP="00F911F2">
      <w:pPr>
        <w:pStyle w:val="Sinespaciado"/>
        <w:rPr>
          <w:rFonts w:ascii="Avenir Next" w:hAnsi="Avenir Next"/>
          <w:b/>
          <w:sz w:val="18"/>
          <w:lang w:val="es-CR"/>
        </w:rPr>
      </w:pPr>
    </w:p>
    <w:p w14:paraId="52E74A48" w14:textId="77777777" w:rsidR="00454FAC" w:rsidRDefault="00454FAC" w:rsidP="00F911F2">
      <w:pPr>
        <w:pStyle w:val="Sinespaciado"/>
        <w:rPr>
          <w:rFonts w:ascii="Avenir Next" w:hAnsi="Avenir Next"/>
          <w:b/>
          <w:sz w:val="18"/>
          <w:lang w:val="es-CR"/>
        </w:rPr>
      </w:pPr>
    </w:p>
    <w:p w14:paraId="0E198480" w14:textId="77777777" w:rsidR="00454FAC" w:rsidRDefault="00454FAC" w:rsidP="00F911F2">
      <w:pPr>
        <w:pStyle w:val="Sinespaciado"/>
        <w:rPr>
          <w:rFonts w:ascii="Avenir Next" w:hAnsi="Avenir Next"/>
          <w:b/>
          <w:sz w:val="18"/>
          <w:lang w:val="es-CR"/>
        </w:rPr>
      </w:pPr>
    </w:p>
    <w:p w14:paraId="03FCDBE6" w14:textId="77777777" w:rsidR="00454FAC" w:rsidRDefault="00454FAC" w:rsidP="00F911F2">
      <w:pPr>
        <w:pStyle w:val="Sinespaciado"/>
        <w:rPr>
          <w:rFonts w:ascii="Avenir Next" w:hAnsi="Avenir Next"/>
          <w:b/>
          <w:sz w:val="18"/>
          <w:lang w:val="es-CR"/>
        </w:rPr>
      </w:pPr>
    </w:p>
    <w:p w14:paraId="168CBF47" w14:textId="77777777" w:rsidR="00454FAC" w:rsidRDefault="00454FAC" w:rsidP="00F911F2">
      <w:pPr>
        <w:pStyle w:val="Sinespaciado"/>
        <w:rPr>
          <w:rFonts w:ascii="Avenir Next" w:hAnsi="Avenir Next"/>
          <w:b/>
          <w:sz w:val="18"/>
          <w:lang w:val="es-CR"/>
        </w:rPr>
      </w:pPr>
    </w:p>
    <w:p w14:paraId="3092CD87" w14:textId="77777777" w:rsidR="00454FAC" w:rsidRDefault="00454FAC" w:rsidP="00F911F2">
      <w:pPr>
        <w:pStyle w:val="Sinespaciado"/>
        <w:rPr>
          <w:rFonts w:ascii="Avenir Next" w:hAnsi="Avenir Next"/>
          <w:b/>
          <w:sz w:val="18"/>
          <w:lang w:val="es-CR"/>
        </w:rPr>
      </w:pPr>
    </w:p>
    <w:p w14:paraId="2AB2B33C" w14:textId="77777777" w:rsidR="00AA0F70" w:rsidRDefault="00AA0F70" w:rsidP="00AA0F70">
      <w:pPr>
        <w:widowControl w:val="0"/>
        <w:autoSpaceDE w:val="0"/>
        <w:autoSpaceDN w:val="0"/>
        <w:adjustRightInd w:val="0"/>
        <w:ind w:right="142"/>
        <w:jc w:val="both"/>
        <w:rPr>
          <w:rFonts w:ascii="Avenir Next" w:eastAsia="TimesNewRomanPS" w:hAnsi="Avenir Next" w:hint="eastAsia"/>
          <w:bCs/>
          <w:sz w:val="18"/>
          <w:szCs w:val="18"/>
          <w:lang w:val="es-EC"/>
        </w:rPr>
      </w:pPr>
    </w:p>
    <w:p w14:paraId="7BFC3923" w14:textId="77777777" w:rsidR="00454FAC" w:rsidRDefault="00454FAC" w:rsidP="00AA0F70">
      <w:pPr>
        <w:widowControl w:val="0"/>
        <w:autoSpaceDE w:val="0"/>
        <w:autoSpaceDN w:val="0"/>
        <w:adjustRightInd w:val="0"/>
        <w:ind w:right="142"/>
        <w:jc w:val="both"/>
        <w:rPr>
          <w:rFonts w:ascii="Avenir Next" w:eastAsia="TimesNewRomanPS" w:hAnsi="Avenir Next" w:hint="eastAsia"/>
          <w:bCs/>
          <w:sz w:val="18"/>
          <w:szCs w:val="18"/>
          <w:lang w:val="es-EC"/>
        </w:rPr>
      </w:pPr>
    </w:p>
    <w:p w14:paraId="1628E742" w14:textId="77777777" w:rsidR="00454FAC" w:rsidRDefault="00454FAC" w:rsidP="00AA0F70">
      <w:pPr>
        <w:widowControl w:val="0"/>
        <w:autoSpaceDE w:val="0"/>
        <w:autoSpaceDN w:val="0"/>
        <w:adjustRightInd w:val="0"/>
        <w:ind w:right="142"/>
        <w:jc w:val="both"/>
        <w:rPr>
          <w:rFonts w:ascii="Avenir Next" w:eastAsia="TimesNewRomanPS" w:hAnsi="Avenir Next" w:hint="eastAsia"/>
          <w:bCs/>
          <w:sz w:val="18"/>
          <w:szCs w:val="18"/>
          <w:lang w:val="es-EC"/>
        </w:rPr>
      </w:pPr>
      <w:bookmarkStart w:id="3" w:name="_GoBack"/>
      <w:bookmarkEnd w:id="3"/>
    </w:p>
    <w:p w14:paraId="3A3C860D" w14:textId="77777777" w:rsidR="00454FAC" w:rsidRDefault="00454FAC" w:rsidP="00AA0F70">
      <w:pPr>
        <w:widowControl w:val="0"/>
        <w:autoSpaceDE w:val="0"/>
        <w:autoSpaceDN w:val="0"/>
        <w:adjustRightInd w:val="0"/>
        <w:ind w:right="142"/>
        <w:jc w:val="both"/>
        <w:rPr>
          <w:rFonts w:ascii="Avenir Next" w:eastAsia="TimesNewRomanPS" w:hAnsi="Avenir Next" w:hint="eastAsia"/>
          <w:bCs/>
          <w:sz w:val="18"/>
          <w:szCs w:val="18"/>
          <w:lang w:val="es-EC"/>
        </w:rPr>
      </w:pPr>
    </w:p>
    <w:p w14:paraId="3EEF679B" w14:textId="77777777" w:rsidR="00454FAC" w:rsidRDefault="00454FAC" w:rsidP="00AA0F70">
      <w:pPr>
        <w:widowControl w:val="0"/>
        <w:autoSpaceDE w:val="0"/>
        <w:autoSpaceDN w:val="0"/>
        <w:adjustRightInd w:val="0"/>
        <w:ind w:right="142"/>
        <w:jc w:val="both"/>
        <w:rPr>
          <w:rFonts w:ascii="Avenir Next" w:eastAsia="TimesNewRomanPS" w:hAnsi="Avenir Next" w:hint="eastAsia"/>
          <w:bCs/>
          <w:sz w:val="18"/>
          <w:szCs w:val="18"/>
          <w:lang w:val="es-EC"/>
        </w:rPr>
      </w:pPr>
    </w:p>
    <w:p w14:paraId="7CA2B3A1" w14:textId="77777777" w:rsidR="00454FAC" w:rsidRPr="00D92F0A" w:rsidRDefault="00454FAC" w:rsidP="00454FAC">
      <w:pPr>
        <w:spacing w:after="200" w:line="240" w:lineRule="auto"/>
        <w:rPr>
          <w:rFonts w:ascii="Avenir Next" w:hAnsi="Avenir Next"/>
          <w:b/>
          <w:sz w:val="18"/>
          <w:szCs w:val="18"/>
        </w:rPr>
      </w:pPr>
    </w:p>
    <w:p w14:paraId="2492C6BC" w14:textId="140D01A2" w:rsidR="00144113" w:rsidRPr="002667B2" w:rsidRDefault="00AA5394" w:rsidP="00454FAC">
      <w:pPr>
        <w:spacing w:after="200" w:line="240" w:lineRule="auto"/>
        <w:jc w:val="center"/>
        <w:rPr>
          <w:rFonts w:ascii="Avenir Next" w:hAnsi="Avenir Next"/>
          <w:b/>
          <w:sz w:val="18"/>
          <w:szCs w:val="18"/>
          <w:lang w:val="en-US"/>
        </w:rPr>
      </w:pPr>
      <w:r w:rsidRPr="002667B2">
        <w:rPr>
          <w:rFonts w:ascii="Avenir Next" w:hAnsi="Avenir Next"/>
          <w:b/>
          <w:sz w:val="18"/>
          <w:szCs w:val="18"/>
          <w:lang w:val="en-US"/>
        </w:rPr>
        <w:t>ABSTRACT</w:t>
      </w:r>
    </w:p>
    <w:p w14:paraId="2DDEEE25" w14:textId="544FCD84" w:rsidR="00144113" w:rsidRPr="002667B2" w:rsidRDefault="00AA5394">
      <w:pPr>
        <w:spacing w:after="200" w:line="240" w:lineRule="auto"/>
        <w:jc w:val="both"/>
        <w:rPr>
          <w:rFonts w:ascii="Avenir Next" w:hAnsi="Avenir Next"/>
          <w:b/>
          <w:sz w:val="18"/>
          <w:szCs w:val="18"/>
          <w:lang w:val="en-US"/>
        </w:rPr>
      </w:pPr>
      <w:r w:rsidRPr="002667B2">
        <w:rPr>
          <w:rFonts w:ascii="Avenir Next" w:hAnsi="Avenir Next"/>
          <w:sz w:val="18"/>
          <w:szCs w:val="18"/>
          <w:lang w:val="en-US"/>
        </w:rPr>
        <w:t>Conservation of artworks is a fundamental aspect of the immensity of human culture and artistic expression. T</w:t>
      </w:r>
      <w:r w:rsidR="004C1431">
        <w:rPr>
          <w:rFonts w:ascii="Avenir Next" w:hAnsi="Avenir Next"/>
          <w:sz w:val="18"/>
          <w:szCs w:val="18"/>
          <w:lang w:val="en-US"/>
        </w:rPr>
        <w:t>wo</w:t>
      </w:r>
      <w:r w:rsidRPr="002667B2">
        <w:rPr>
          <w:rFonts w:ascii="Avenir Next" w:hAnsi="Avenir Next"/>
          <w:sz w:val="18"/>
          <w:szCs w:val="18"/>
          <w:lang w:val="en-US"/>
        </w:rPr>
        <w:t xml:space="preserve"> watercolor </w:t>
      </w:r>
      <w:r w:rsidR="004C1431">
        <w:rPr>
          <w:rFonts w:ascii="Avenir Next" w:hAnsi="Avenir Next"/>
          <w:sz w:val="18"/>
          <w:szCs w:val="18"/>
          <w:lang w:val="en-US"/>
        </w:rPr>
        <w:t>were examined</w:t>
      </w:r>
      <w:r w:rsidRPr="002667B2">
        <w:rPr>
          <w:rFonts w:ascii="Avenir Next" w:hAnsi="Avenir Next"/>
          <w:sz w:val="18"/>
          <w:szCs w:val="18"/>
          <w:lang w:val="en-US"/>
        </w:rPr>
        <w:t xml:space="preserve">: </w:t>
      </w:r>
      <w:r w:rsidRPr="002667B2">
        <w:rPr>
          <w:rFonts w:ascii="Avenir Next" w:hAnsi="Avenir Next"/>
          <w:i/>
          <w:sz w:val="18"/>
          <w:szCs w:val="18"/>
          <w:lang w:val="en-US"/>
        </w:rPr>
        <w:t>Paisaje con casa campesina</w:t>
      </w:r>
      <w:r w:rsidRPr="002667B2">
        <w:rPr>
          <w:rFonts w:ascii="Avenir Next" w:hAnsi="Avenir Next"/>
          <w:sz w:val="18"/>
          <w:szCs w:val="18"/>
          <w:lang w:val="en-US"/>
        </w:rPr>
        <w:t xml:space="preserve"> and </w:t>
      </w:r>
      <w:r w:rsidRPr="002667B2">
        <w:rPr>
          <w:rFonts w:ascii="Avenir Next" w:hAnsi="Avenir Next"/>
          <w:i/>
          <w:sz w:val="18"/>
          <w:szCs w:val="18"/>
          <w:lang w:val="en-US"/>
        </w:rPr>
        <w:t>El puente,</w:t>
      </w:r>
      <w:r w:rsidRPr="002667B2">
        <w:rPr>
          <w:rFonts w:ascii="Avenir Next" w:hAnsi="Avenir Next"/>
          <w:sz w:val="18"/>
          <w:szCs w:val="18"/>
          <w:lang w:val="en-US"/>
        </w:rPr>
        <w:t xml:space="preserve"> belonging to the collection of the Central Bank of Costa Rica attributed to the national artist Fausto Pacheco Hernández. Particularly, the exclusive approach to explore these artworks is characterized by being a multiple analysis, where non-invasive techniques such as multispectral photography were applied. Based on this technique along with the use of novel computational tools such as </w:t>
      </w:r>
      <w:r w:rsidRPr="00113447">
        <w:rPr>
          <w:rFonts w:ascii="Avenir Next" w:hAnsi="Avenir Next"/>
          <w:iCs/>
          <w:sz w:val="18"/>
          <w:szCs w:val="18"/>
          <w:lang w:val="en-US"/>
        </w:rPr>
        <w:t>RegionsOfInterest and Golden Artists Colors,</w:t>
      </w:r>
      <w:r w:rsidRPr="002667B2">
        <w:rPr>
          <w:rFonts w:ascii="Avenir Next" w:hAnsi="Avenir Next"/>
          <w:sz w:val="18"/>
          <w:szCs w:val="18"/>
          <w:lang w:val="en-US"/>
        </w:rPr>
        <w:t xml:space="preserve"> information about the artist's pictorial palette and creative process was determined. </w:t>
      </w:r>
      <w:r w:rsidR="003D1A55">
        <w:rPr>
          <w:rFonts w:ascii="Avenir Next" w:hAnsi="Avenir Next"/>
          <w:sz w:val="18"/>
          <w:szCs w:val="18"/>
          <w:lang w:val="en-US"/>
        </w:rPr>
        <w:t>M</w:t>
      </w:r>
      <w:r w:rsidRPr="002667B2">
        <w:rPr>
          <w:rFonts w:ascii="Avenir Next" w:hAnsi="Avenir Next"/>
          <w:sz w:val="18"/>
          <w:szCs w:val="18"/>
          <w:lang w:val="en-US"/>
        </w:rPr>
        <w:t>ultiple analysis also allowed identifying areas of interest such as dark spots and other patterns that could be associated with microbial growth. This pioneering study is the starting point to establish indicators that will allow, to evaluate the possible authenticity of these artworks based on the establishment of the artist's pictorial palette, materials used, creative processes and historical context. The application of science</w:t>
      </w:r>
      <w:r w:rsidR="00202983">
        <w:rPr>
          <w:rFonts w:ascii="Avenir Next" w:hAnsi="Avenir Next"/>
          <w:sz w:val="18"/>
          <w:szCs w:val="18"/>
          <w:lang w:val="en-US"/>
        </w:rPr>
        <w:t xml:space="preserve"> </w:t>
      </w:r>
      <w:r w:rsidRPr="002667B2">
        <w:rPr>
          <w:rFonts w:ascii="Avenir Next" w:hAnsi="Avenir Next"/>
          <w:sz w:val="18"/>
          <w:szCs w:val="18"/>
          <w:lang w:val="en-US"/>
        </w:rPr>
        <w:t>to know the characteristics of materials contributes significantly to determining the most efficient way to preserve cultural heritage.</w:t>
      </w:r>
    </w:p>
    <w:p w14:paraId="52A5E4D0" w14:textId="3495B28D" w:rsidR="00454FAC" w:rsidRPr="000E2C9F" w:rsidRDefault="00AA5394">
      <w:pPr>
        <w:spacing w:after="200" w:line="240" w:lineRule="auto"/>
        <w:jc w:val="both"/>
        <w:rPr>
          <w:rFonts w:ascii="Avenir Next" w:hAnsi="Avenir Next"/>
          <w:sz w:val="18"/>
          <w:szCs w:val="18"/>
          <w:lang w:val="en-US"/>
        </w:rPr>
      </w:pPr>
      <w:r w:rsidRPr="002667B2">
        <w:rPr>
          <w:rFonts w:ascii="Avenir Next" w:hAnsi="Avenir Next"/>
          <w:b/>
          <w:sz w:val="18"/>
          <w:szCs w:val="18"/>
          <w:lang w:val="en-US"/>
        </w:rPr>
        <w:t xml:space="preserve">Keywords: </w:t>
      </w:r>
      <w:r w:rsidRPr="002667B2">
        <w:rPr>
          <w:rFonts w:ascii="Avenir Next" w:hAnsi="Avenir Next"/>
          <w:sz w:val="18"/>
          <w:szCs w:val="18"/>
          <w:lang w:val="en-US"/>
        </w:rPr>
        <w:t>watercolors</w:t>
      </w:r>
      <w:r w:rsidR="00F00049" w:rsidRPr="002667B2">
        <w:rPr>
          <w:rFonts w:ascii="Avenir Next" w:hAnsi="Avenir Next"/>
          <w:sz w:val="18"/>
          <w:szCs w:val="18"/>
          <w:lang w:val="en-US"/>
        </w:rPr>
        <w:t>;</w:t>
      </w:r>
      <w:r w:rsidRPr="002667B2">
        <w:rPr>
          <w:rFonts w:ascii="Avenir Next" w:hAnsi="Avenir Next"/>
          <w:sz w:val="18"/>
          <w:szCs w:val="18"/>
          <w:lang w:val="en-US"/>
        </w:rPr>
        <w:t xml:space="preserve"> biodeterioration</w:t>
      </w:r>
      <w:r w:rsidR="00F00049" w:rsidRPr="002667B2">
        <w:rPr>
          <w:rFonts w:ascii="Avenir Next" w:hAnsi="Avenir Next"/>
          <w:sz w:val="18"/>
          <w:szCs w:val="18"/>
          <w:lang w:val="en-US"/>
        </w:rPr>
        <w:t>;</w:t>
      </w:r>
      <w:r w:rsidRPr="002667B2">
        <w:rPr>
          <w:rFonts w:ascii="Avenir Next" w:hAnsi="Avenir Next"/>
          <w:sz w:val="18"/>
          <w:szCs w:val="18"/>
          <w:lang w:val="en-US"/>
        </w:rPr>
        <w:t xml:space="preserve"> state of conservation</w:t>
      </w:r>
      <w:r w:rsidR="00F00049" w:rsidRPr="002667B2">
        <w:rPr>
          <w:rFonts w:ascii="Avenir Next" w:hAnsi="Avenir Next"/>
          <w:sz w:val="18"/>
          <w:szCs w:val="18"/>
          <w:lang w:val="en-US"/>
        </w:rPr>
        <w:t>;</w:t>
      </w:r>
      <w:r w:rsidRPr="002667B2">
        <w:rPr>
          <w:rFonts w:ascii="Avenir Next" w:hAnsi="Avenir Next"/>
          <w:sz w:val="18"/>
          <w:szCs w:val="18"/>
          <w:lang w:val="en-US"/>
        </w:rPr>
        <w:t xml:space="preserve"> multispectral photography</w:t>
      </w:r>
      <w:r w:rsidR="00F00049" w:rsidRPr="002667B2">
        <w:rPr>
          <w:rFonts w:ascii="Avenir Next" w:hAnsi="Avenir Next"/>
          <w:sz w:val="18"/>
          <w:szCs w:val="18"/>
          <w:lang w:val="en-US"/>
        </w:rPr>
        <w:t>;</w:t>
      </w:r>
      <w:r w:rsidRPr="002667B2">
        <w:rPr>
          <w:rFonts w:ascii="Avenir Next" w:hAnsi="Avenir Next"/>
          <w:sz w:val="18"/>
          <w:szCs w:val="18"/>
          <w:lang w:val="en-US"/>
        </w:rPr>
        <w:t xml:space="preserve"> computational tools</w:t>
      </w:r>
      <w:r w:rsidR="00F00049" w:rsidRPr="002667B2">
        <w:rPr>
          <w:rFonts w:ascii="Avenir Next" w:hAnsi="Avenir Next"/>
          <w:sz w:val="18"/>
          <w:szCs w:val="18"/>
          <w:lang w:val="en-US"/>
        </w:rPr>
        <w:t>;</w:t>
      </w:r>
      <w:r w:rsidRPr="002667B2">
        <w:rPr>
          <w:rFonts w:ascii="Avenir Next" w:hAnsi="Avenir Next"/>
          <w:sz w:val="18"/>
          <w:szCs w:val="18"/>
          <w:lang w:val="en-US"/>
        </w:rPr>
        <w:t xml:space="preserve"> cultural heritage</w:t>
      </w:r>
      <w:r w:rsidR="00F00049" w:rsidRPr="002667B2">
        <w:rPr>
          <w:rFonts w:ascii="Avenir Next" w:hAnsi="Avenir Next"/>
          <w:sz w:val="18"/>
          <w:szCs w:val="18"/>
          <w:lang w:val="en-US"/>
        </w:rPr>
        <w:t>.</w:t>
      </w:r>
    </w:p>
    <w:p w14:paraId="533BFC1A"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lastRenderedPageBreak/>
        <w:t xml:space="preserve">Introducción </w:t>
      </w:r>
    </w:p>
    <w:p w14:paraId="3F434810" w14:textId="28E33D9A" w:rsidR="00144113" w:rsidRPr="002667B2" w:rsidRDefault="00AA5394">
      <w:pPr>
        <w:spacing w:after="200" w:line="240" w:lineRule="auto"/>
        <w:jc w:val="both"/>
        <w:rPr>
          <w:rFonts w:ascii="Avenir Next" w:hAnsi="Avenir Next"/>
          <w:i/>
          <w:sz w:val="24"/>
          <w:szCs w:val="24"/>
        </w:rPr>
      </w:pPr>
      <w:r w:rsidRPr="002667B2">
        <w:rPr>
          <w:rFonts w:ascii="Avenir Next" w:hAnsi="Avenir Next"/>
          <w:sz w:val="24"/>
          <w:szCs w:val="24"/>
        </w:rPr>
        <w:t xml:space="preserve">La creación artística es uno de los medios que los seres humanos utilizan desde hace muchos años para expresar y compartir su historia, inquietudes, aprendizajes, creencias, pensamientos grupales y personales. En las obras se refleja la conexión entre quien las </w:t>
      </w:r>
      <w:r w:rsidR="0030036E">
        <w:rPr>
          <w:rFonts w:ascii="Avenir Next" w:hAnsi="Avenir Next"/>
          <w:sz w:val="24"/>
          <w:szCs w:val="24"/>
        </w:rPr>
        <w:t>crea</w:t>
      </w:r>
      <w:r w:rsidRPr="002667B2">
        <w:rPr>
          <w:rFonts w:ascii="Avenir Next" w:hAnsi="Avenir Next"/>
          <w:sz w:val="24"/>
          <w:szCs w:val="24"/>
        </w:rPr>
        <w:t xml:space="preserve"> y su época, no solo en los aspectos temáticos y estilísticos, sino en la disponibilidad de materiales para la preparación de la obra</w:t>
      </w:r>
      <w:r w:rsidRPr="002667B2">
        <w:rPr>
          <w:rFonts w:ascii="Avenir Next" w:hAnsi="Avenir Next"/>
          <w:b/>
          <w:sz w:val="24"/>
          <w:szCs w:val="24"/>
        </w:rPr>
        <w:t xml:space="preserve"> </w:t>
      </w:r>
      <w:r w:rsidRPr="002667B2">
        <w:rPr>
          <w:rFonts w:ascii="Avenir Next" w:hAnsi="Avenir Next"/>
          <w:sz w:val="24"/>
          <w:szCs w:val="24"/>
        </w:rPr>
        <w:t xml:space="preserve">(Barrantes-Madrigal </w:t>
      </w:r>
      <w:r w:rsidRPr="002667B2">
        <w:rPr>
          <w:rFonts w:ascii="Avenir Next" w:hAnsi="Avenir Next"/>
          <w:iCs/>
          <w:sz w:val="24"/>
          <w:szCs w:val="24"/>
        </w:rPr>
        <w:t>et al.,</w:t>
      </w:r>
      <w:r w:rsidRPr="002667B2">
        <w:rPr>
          <w:rFonts w:ascii="Avenir Next" w:hAnsi="Avenir Next"/>
          <w:sz w:val="24"/>
          <w:szCs w:val="24"/>
        </w:rPr>
        <w:t xml:space="preserve"> 2021; </w:t>
      </w:r>
      <w:r w:rsidRPr="00AE2F1A">
        <w:rPr>
          <w:rFonts w:ascii="Avenir Next" w:hAnsi="Avenir Next"/>
          <w:sz w:val="24"/>
          <w:szCs w:val="24"/>
        </w:rPr>
        <w:t xml:space="preserve">Berrie </w:t>
      </w:r>
      <w:r w:rsidRPr="00AE2F1A">
        <w:rPr>
          <w:rFonts w:ascii="Avenir Next" w:hAnsi="Avenir Next"/>
          <w:iCs/>
          <w:sz w:val="24"/>
          <w:szCs w:val="24"/>
        </w:rPr>
        <w:t>et al.,</w:t>
      </w:r>
      <w:r w:rsidRPr="00AE2F1A">
        <w:rPr>
          <w:rFonts w:ascii="Avenir Next" w:hAnsi="Avenir Next"/>
          <w:sz w:val="24"/>
          <w:szCs w:val="24"/>
        </w:rPr>
        <w:t xml:space="preserve"> 2014</w:t>
      </w:r>
      <w:r w:rsidRPr="002667B2">
        <w:rPr>
          <w:rFonts w:ascii="Avenir Next" w:hAnsi="Avenir Next"/>
          <w:sz w:val="24"/>
          <w:szCs w:val="24"/>
        </w:rPr>
        <w:t xml:space="preserve">). Por lo tanto, establecer y comprender la integralidad en </w:t>
      </w:r>
      <w:r w:rsidRPr="00EE43CF">
        <w:rPr>
          <w:rFonts w:ascii="Avenir Next" w:hAnsi="Avenir Next"/>
          <w:sz w:val="24"/>
          <w:szCs w:val="24"/>
        </w:rPr>
        <w:t>estas relaciones</w:t>
      </w:r>
      <w:r w:rsidRPr="002667B2">
        <w:rPr>
          <w:rFonts w:ascii="Avenir Next" w:hAnsi="Avenir Next"/>
          <w:sz w:val="24"/>
          <w:szCs w:val="24"/>
        </w:rPr>
        <w:t xml:space="preserve"> es actualmente clave para proporcionar información precisa sobre la materialidad de las obras, el sello personal </w:t>
      </w:r>
      <w:r w:rsidR="00F7180E">
        <w:rPr>
          <w:rFonts w:ascii="Avenir Next" w:hAnsi="Avenir Next"/>
          <w:sz w:val="24"/>
          <w:szCs w:val="24"/>
        </w:rPr>
        <w:t xml:space="preserve">de la </w:t>
      </w:r>
      <w:r w:rsidR="0041716B">
        <w:rPr>
          <w:rFonts w:ascii="Avenir Next" w:hAnsi="Avenir Next"/>
          <w:sz w:val="24"/>
          <w:szCs w:val="24"/>
        </w:rPr>
        <w:t xml:space="preserve">persona creadora </w:t>
      </w:r>
      <w:r w:rsidRPr="002667B2">
        <w:rPr>
          <w:rFonts w:ascii="Avenir Next" w:hAnsi="Avenir Next"/>
          <w:sz w:val="24"/>
          <w:szCs w:val="24"/>
        </w:rPr>
        <w:t>y desarrollar estrategias de conservación</w:t>
      </w:r>
      <w:r w:rsidR="00C45952">
        <w:rPr>
          <w:rFonts w:ascii="Avenir Next" w:hAnsi="Avenir Next"/>
          <w:sz w:val="24"/>
          <w:szCs w:val="24"/>
        </w:rPr>
        <w:t>.</w:t>
      </w:r>
    </w:p>
    <w:p w14:paraId="133066C1" w14:textId="698E2EF1" w:rsidR="00144113" w:rsidRPr="002667B2" w:rsidRDefault="00AC4748">
      <w:pPr>
        <w:spacing w:after="200" w:line="240" w:lineRule="auto"/>
        <w:jc w:val="both"/>
        <w:rPr>
          <w:rFonts w:ascii="Avenir Next" w:hAnsi="Avenir Next"/>
          <w:sz w:val="24"/>
          <w:szCs w:val="24"/>
        </w:rPr>
      </w:pPr>
      <w:r>
        <w:rPr>
          <w:rFonts w:ascii="Avenir Next" w:hAnsi="Avenir Next"/>
          <w:sz w:val="24"/>
          <w:szCs w:val="24"/>
        </w:rPr>
        <w:t xml:space="preserve">Según lo mencionado previamente, </w:t>
      </w:r>
      <w:r w:rsidR="00AA5394" w:rsidRPr="002667B2">
        <w:rPr>
          <w:rFonts w:ascii="Avenir Next" w:hAnsi="Avenir Next"/>
          <w:sz w:val="24"/>
          <w:szCs w:val="24"/>
        </w:rPr>
        <w:t xml:space="preserve">un </w:t>
      </w:r>
      <w:r w:rsidR="00AA5394" w:rsidRPr="00EE43CF">
        <w:rPr>
          <w:rFonts w:ascii="Avenir Next" w:hAnsi="Avenir Next"/>
          <w:sz w:val="24"/>
          <w:szCs w:val="24"/>
        </w:rPr>
        <w:t xml:space="preserve">área </w:t>
      </w:r>
      <w:r w:rsidR="00EE43CF">
        <w:rPr>
          <w:rFonts w:ascii="Avenir Next" w:hAnsi="Avenir Next"/>
          <w:sz w:val="24"/>
          <w:szCs w:val="24"/>
        </w:rPr>
        <w:t xml:space="preserve">fundamental </w:t>
      </w:r>
      <w:r w:rsidR="00AA5394" w:rsidRPr="002667B2">
        <w:rPr>
          <w:rFonts w:ascii="Avenir Next" w:hAnsi="Avenir Next"/>
          <w:sz w:val="24"/>
          <w:szCs w:val="24"/>
        </w:rPr>
        <w:t xml:space="preserve">corresponde a la aplicación de la ciencia e ingeniería al análisis de pinturas y esculturas de valor incalculable, la cual se remonta a varios siglos (Barni </w:t>
      </w:r>
      <w:r w:rsidR="00AA5394" w:rsidRPr="002667B2">
        <w:rPr>
          <w:rFonts w:ascii="Avenir Next" w:hAnsi="Avenir Next"/>
          <w:iCs/>
          <w:sz w:val="24"/>
          <w:szCs w:val="24"/>
        </w:rPr>
        <w:t>et al.,</w:t>
      </w:r>
      <w:r w:rsidR="00AA5394" w:rsidRPr="002667B2">
        <w:rPr>
          <w:rFonts w:ascii="Avenir Next" w:hAnsi="Avenir Next"/>
          <w:sz w:val="24"/>
          <w:szCs w:val="24"/>
        </w:rPr>
        <w:t xml:space="preserve"> 2005). Particularmente, para entender muchos de los aspectos mencionados, una caracterización e identificación científica multianalítica es </w:t>
      </w:r>
      <w:r w:rsidR="00EE43CF">
        <w:rPr>
          <w:rFonts w:ascii="Avenir Next" w:hAnsi="Avenir Next"/>
          <w:sz w:val="24"/>
          <w:szCs w:val="24"/>
        </w:rPr>
        <w:t>crucial</w:t>
      </w:r>
      <w:r w:rsidR="00AA5394" w:rsidRPr="002667B2">
        <w:rPr>
          <w:rFonts w:ascii="Avenir Next" w:hAnsi="Avenir Next"/>
          <w:sz w:val="24"/>
          <w:szCs w:val="24"/>
        </w:rPr>
        <w:t xml:space="preserve"> para obtener información trascendental sobre la historia de los objetos en estudio (Conejo-Barboza </w:t>
      </w:r>
      <w:r w:rsidR="00AA5394" w:rsidRPr="002667B2">
        <w:rPr>
          <w:rFonts w:ascii="Avenir Next" w:hAnsi="Avenir Next"/>
          <w:iCs/>
          <w:sz w:val="24"/>
          <w:szCs w:val="24"/>
        </w:rPr>
        <w:t xml:space="preserve">et al., </w:t>
      </w:r>
      <w:r w:rsidR="00AA5394" w:rsidRPr="002667B2">
        <w:rPr>
          <w:rFonts w:ascii="Avenir Next" w:hAnsi="Avenir Next"/>
          <w:sz w:val="24"/>
          <w:szCs w:val="24"/>
        </w:rPr>
        <w:t>2020) y el sello personal de sus artífices (Barrantes-</w:t>
      </w:r>
      <w:r w:rsidR="00AA5394" w:rsidRPr="005270F3">
        <w:rPr>
          <w:rFonts w:ascii="Avenir Next" w:hAnsi="Avenir Next"/>
          <w:sz w:val="24"/>
          <w:szCs w:val="24"/>
        </w:rPr>
        <w:t xml:space="preserve">Madrigal </w:t>
      </w:r>
      <w:r w:rsidR="00AA5394" w:rsidRPr="005270F3">
        <w:rPr>
          <w:rFonts w:ascii="Avenir Next" w:hAnsi="Avenir Next"/>
          <w:iCs/>
          <w:sz w:val="24"/>
          <w:szCs w:val="24"/>
        </w:rPr>
        <w:t>et al.,</w:t>
      </w:r>
      <w:r w:rsidR="00AA5394" w:rsidRPr="005270F3">
        <w:rPr>
          <w:rFonts w:ascii="Avenir Next" w:hAnsi="Avenir Next"/>
          <w:sz w:val="24"/>
          <w:szCs w:val="24"/>
        </w:rPr>
        <w:t xml:space="preserve"> 2021</w:t>
      </w:r>
      <w:r w:rsidR="00AA5394" w:rsidRPr="002667B2">
        <w:rPr>
          <w:rFonts w:ascii="Avenir Next" w:hAnsi="Avenir Next"/>
          <w:sz w:val="24"/>
          <w:szCs w:val="24"/>
        </w:rPr>
        <w:t xml:space="preserve">). </w:t>
      </w:r>
      <w:r w:rsidRPr="00AC4748">
        <w:rPr>
          <w:rFonts w:ascii="Avenir Next" w:hAnsi="Avenir Next"/>
          <w:sz w:val="24"/>
          <w:szCs w:val="24"/>
        </w:rPr>
        <w:t>Un</w:t>
      </w:r>
      <w:r w:rsidR="00AA5394" w:rsidRPr="00AC4748">
        <w:rPr>
          <w:rFonts w:ascii="Avenir Next" w:hAnsi="Avenir Next"/>
          <w:sz w:val="24"/>
          <w:szCs w:val="24"/>
        </w:rPr>
        <w:t xml:space="preserve"> enfoque</w:t>
      </w:r>
      <w:r w:rsidR="00AA5394" w:rsidRPr="002667B2">
        <w:rPr>
          <w:rFonts w:ascii="Avenir Next" w:hAnsi="Avenir Next"/>
          <w:sz w:val="24"/>
          <w:szCs w:val="24"/>
        </w:rPr>
        <w:t xml:space="preserve"> multianalítico, es una herramienta muy conveniente para el trabajo </w:t>
      </w:r>
      <w:r w:rsidR="00AA5394" w:rsidRPr="00F7180E">
        <w:rPr>
          <w:rFonts w:ascii="Avenir Next" w:hAnsi="Avenir Next"/>
          <w:sz w:val="24"/>
          <w:szCs w:val="24"/>
        </w:rPr>
        <w:t xml:space="preserve">de </w:t>
      </w:r>
      <w:r w:rsidR="00013152">
        <w:rPr>
          <w:rFonts w:ascii="Avenir Next" w:hAnsi="Avenir Next"/>
          <w:sz w:val="24"/>
          <w:szCs w:val="24"/>
        </w:rPr>
        <w:t>quienes conservan</w:t>
      </w:r>
      <w:r w:rsidR="00AA5394" w:rsidRPr="00F7180E">
        <w:rPr>
          <w:rFonts w:ascii="Avenir Next" w:hAnsi="Avenir Next"/>
          <w:sz w:val="24"/>
          <w:szCs w:val="24"/>
        </w:rPr>
        <w:t xml:space="preserve"> y restaura</w:t>
      </w:r>
      <w:r w:rsidR="00013152">
        <w:rPr>
          <w:rFonts w:ascii="Avenir Next" w:hAnsi="Avenir Next"/>
          <w:sz w:val="24"/>
          <w:szCs w:val="24"/>
        </w:rPr>
        <w:t>n</w:t>
      </w:r>
      <w:r w:rsidR="00AA5394" w:rsidRPr="00F7180E">
        <w:rPr>
          <w:rFonts w:ascii="Avenir Next" w:hAnsi="Avenir Next"/>
          <w:sz w:val="24"/>
          <w:szCs w:val="24"/>
        </w:rPr>
        <w:t xml:space="preserve"> las obras de arte, pues favorece la cooperación e interacción entre disciplinas</w:t>
      </w:r>
      <w:r w:rsidRPr="00F7180E">
        <w:rPr>
          <w:rFonts w:ascii="Avenir Next" w:hAnsi="Avenir Next"/>
          <w:sz w:val="24"/>
          <w:szCs w:val="24"/>
        </w:rPr>
        <w:t>,</w:t>
      </w:r>
      <w:r w:rsidR="00AA5394" w:rsidRPr="00F7180E">
        <w:rPr>
          <w:rFonts w:ascii="Avenir Next" w:hAnsi="Avenir Next"/>
          <w:sz w:val="24"/>
          <w:szCs w:val="24"/>
        </w:rPr>
        <w:t xml:space="preserve"> así como el</w:t>
      </w:r>
      <w:r w:rsidR="00AA5394" w:rsidRPr="002667B2">
        <w:rPr>
          <w:rFonts w:ascii="Avenir Next" w:hAnsi="Avenir Next"/>
          <w:sz w:val="24"/>
          <w:szCs w:val="24"/>
        </w:rPr>
        <w:t xml:space="preserve"> entendimiento global de la obra artística (Acke </w:t>
      </w:r>
      <w:r w:rsidR="00AA5394" w:rsidRPr="002667B2">
        <w:rPr>
          <w:rFonts w:ascii="Avenir Next" w:hAnsi="Avenir Next"/>
          <w:iCs/>
          <w:sz w:val="24"/>
          <w:szCs w:val="24"/>
        </w:rPr>
        <w:t>et al.,</w:t>
      </w:r>
      <w:r w:rsidR="00AA5394" w:rsidRPr="002667B2">
        <w:rPr>
          <w:rFonts w:ascii="Avenir Next" w:hAnsi="Avenir Next"/>
          <w:sz w:val="24"/>
          <w:szCs w:val="24"/>
        </w:rPr>
        <w:t xml:space="preserve"> 2021; Borg </w:t>
      </w:r>
      <w:r w:rsidR="00AA5394" w:rsidRPr="002667B2">
        <w:rPr>
          <w:rFonts w:ascii="Avenir Next" w:hAnsi="Avenir Next"/>
          <w:iCs/>
          <w:sz w:val="24"/>
          <w:szCs w:val="24"/>
        </w:rPr>
        <w:t>et al.,</w:t>
      </w:r>
      <w:r w:rsidR="00AA5394" w:rsidRPr="002667B2">
        <w:rPr>
          <w:rFonts w:ascii="Avenir Next" w:hAnsi="Avenir Next"/>
          <w:sz w:val="24"/>
          <w:szCs w:val="24"/>
        </w:rPr>
        <w:t xml:space="preserve"> 2020). </w:t>
      </w:r>
    </w:p>
    <w:p w14:paraId="42E2C4E4" w14:textId="32CD0E8D"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Cuando se observa o se estudia una obra de arte se tiende a pensar que su autoría es incuestionable. No obstante, desde la antigüedad existe evidencia de que la</w:t>
      </w:r>
      <w:r w:rsidRPr="002667B2">
        <w:rPr>
          <w:rFonts w:ascii="Avenir Next" w:hAnsi="Avenir Next"/>
          <w:color w:val="3C4043"/>
          <w:sz w:val="24"/>
          <w:szCs w:val="24"/>
        </w:rPr>
        <w:t xml:space="preserve"> </w:t>
      </w:r>
      <w:r w:rsidRPr="002667B2">
        <w:rPr>
          <w:rFonts w:ascii="Avenir Next" w:hAnsi="Avenir Next"/>
          <w:sz w:val="24"/>
          <w:szCs w:val="24"/>
        </w:rPr>
        <w:t xml:space="preserve">comercialización de los objetos que hoy identificamos como artísticos, detonó el fenómeno de la falsificación, es decir, la reproducción de una obra con la pretensión de hacerla pasar como original, o bien, la asignación de determinada autoría a una obra creada por otra persona. En uno u otro caso, se trata de un problema de autenticidad. </w:t>
      </w:r>
      <w:r w:rsidR="00AA0F70">
        <w:rPr>
          <w:rFonts w:ascii="Avenir Next" w:hAnsi="Avenir Next"/>
          <w:sz w:val="24"/>
          <w:szCs w:val="24"/>
        </w:rPr>
        <w:t>Por consiguiente,</w:t>
      </w:r>
      <w:r w:rsidRPr="002667B2">
        <w:rPr>
          <w:rFonts w:ascii="Avenir Next" w:hAnsi="Avenir Next"/>
          <w:sz w:val="24"/>
          <w:szCs w:val="24"/>
        </w:rPr>
        <w:t xml:space="preserve"> el criterio de especialistas en materia artística, historiográfica o </w:t>
      </w:r>
      <w:r w:rsidR="00516248" w:rsidRPr="002667B2">
        <w:rPr>
          <w:rFonts w:ascii="Avenir Next" w:hAnsi="Avenir Next"/>
          <w:sz w:val="24"/>
          <w:szCs w:val="24"/>
        </w:rPr>
        <w:t>arqueológica</w:t>
      </w:r>
      <w:r w:rsidRPr="002667B2">
        <w:rPr>
          <w:rFonts w:ascii="Avenir Next" w:hAnsi="Avenir Next"/>
          <w:sz w:val="24"/>
          <w:szCs w:val="24"/>
        </w:rPr>
        <w:t xml:space="preserve"> ha sido la fuente acreditada para dictaminar la eventual autenticidad o falsedad de la obra. Exclusivamente, desde la segunda mitad del siglo XX, la ciencia e ingeniería han jugado un papel </w:t>
      </w:r>
      <w:r w:rsidR="004613C7">
        <w:rPr>
          <w:rFonts w:ascii="Avenir Next" w:hAnsi="Avenir Next"/>
          <w:sz w:val="24"/>
          <w:szCs w:val="24"/>
        </w:rPr>
        <w:t xml:space="preserve">considerable </w:t>
      </w:r>
      <w:r w:rsidRPr="002667B2">
        <w:rPr>
          <w:rFonts w:ascii="Avenir Next" w:hAnsi="Avenir Next"/>
          <w:sz w:val="24"/>
          <w:szCs w:val="24"/>
        </w:rPr>
        <w:t xml:space="preserve">en </w:t>
      </w:r>
      <w:r w:rsidR="00AA0F70">
        <w:rPr>
          <w:rFonts w:ascii="Avenir Next" w:hAnsi="Avenir Next"/>
          <w:sz w:val="24"/>
          <w:szCs w:val="24"/>
        </w:rPr>
        <w:t>estos</w:t>
      </w:r>
      <w:r w:rsidRPr="002667B2">
        <w:rPr>
          <w:rFonts w:ascii="Avenir Next" w:hAnsi="Avenir Next"/>
          <w:sz w:val="24"/>
          <w:szCs w:val="24"/>
        </w:rPr>
        <w:t xml:space="preserve"> estudios para dilucidar los materiales utilizados o el sello personal de</w:t>
      </w:r>
      <w:r w:rsidR="001A7F10">
        <w:rPr>
          <w:rFonts w:ascii="Avenir Next" w:hAnsi="Avenir Next"/>
          <w:sz w:val="24"/>
          <w:szCs w:val="24"/>
        </w:rPr>
        <w:t xml:space="preserve"> la persona artista</w:t>
      </w:r>
      <w:r w:rsidRPr="002667B2">
        <w:rPr>
          <w:rFonts w:ascii="Avenir Next" w:hAnsi="Avenir Next"/>
          <w:sz w:val="24"/>
          <w:szCs w:val="24"/>
        </w:rPr>
        <w:t xml:space="preserve"> (Saverwyns </w:t>
      </w:r>
      <w:r w:rsidRPr="002667B2">
        <w:rPr>
          <w:rFonts w:ascii="Avenir Next" w:hAnsi="Avenir Next"/>
          <w:iCs/>
          <w:sz w:val="24"/>
          <w:szCs w:val="24"/>
        </w:rPr>
        <w:t>et al.,</w:t>
      </w:r>
      <w:r w:rsidRPr="002667B2">
        <w:rPr>
          <w:rFonts w:ascii="Avenir Next" w:hAnsi="Avenir Next"/>
          <w:sz w:val="24"/>
          <w:szCs w:val="24"/>
        </w:rPr>
        <w:t xml:space="preserve"> 2018). </w:t>
      </w:r>
    </w:p>
    <w:p w14:paraId="10A8434F" w14:textId="3F6B45BB" w:rsidR="001A06B9" w:rsidRPr="002667B2" w:rsidRDefault="00F4526B">
      <w:pPr>
        <w:spacing w:after="200" w:line="240" w:lineRule="auto"/>
        <w:jc w:val="both"/>
        <w:rPr>
          <w:rFonts w:ascii="Avenir Next" w:hAnsi="Avenir Next"/>
          <w:sz w:val="24"/>
          <w:szCs w:val="24"/>
        </w:rPr>
      </w:pPr>
      <w:r w:rsidRPr="004613C7">
        <w:rPr>
          <w:rFonts w:ascii="Avenir Next" w:hAnsi="Avenir Next"/>
          <w:sz w:val="24"/>
          <w:szCs w:val="24"/>
        </w:rPr>
        <w:t>E</w:t>
      </w:r>
      <w:r w:rsidR="00AA5394" w:rsidRPr="004613C7">
        <w:rPr>
          <w:rFonts w:ascii="Avenir Next" w:hAnsi="Avenir Next"/>
          <w:sz w:val="24"/>
          <w:szCs w:val="24"/>
        </w:rPr>
        <w:t xml:space="preserve">l objetivo de estudio </w:t>
      </w:r>
      <w:r w:rsidR="00CF6DB8">
        <w:rPr>
          <w:rFonts w:ascii="Avenir Next" w:hAnsi="Avenir Next"/>
          <w:sz w:val="24"/>
          <w:szCs w:val="24"/>
        </w:rPr>
        <w:t>es</w:t>
      </w:r>
      <w:r w:rsidR="00AA5394" w:rsidRPr="004613C7">
        <w:rPr>
          <w:rFonts w:ascii="Avenir Next" w:hAnsi="Avenir Next"/>
          <w:sz w:val="24"/>
          <w:szCs w:val="24"/>
        </w:rPr>
        <w:t xml:space="preserve"> identificar cualitativamente la paleta pictórica y el estado de conservación de dos obras </w:t>
      </w:r>
      <w:r w:rsidRPr="004613C7">
        <w:rPr>
          <w:rFonts w:ascii="Avenir Next" w:hAnsi="Avenir Next"/>
          <w:sz w:val="24"/>
          <w:szCs w:val="24"/>
        </w:rPr>
        <w:t>pintadas</w:t>
      </w:r>
      <w:r w:rsidR="00AA5394" w:rsidRPr="004613C7">
        <w:rPr>
          <w:rFonts w:ascii="Avenir Next" w:hAnsi="Avenir Next"/>
          <w:sz w:val="24"/>
          <w:szCs w:val="24"/>
        </w:rPr>
        <w:t xml:space="preserve"> </w:t>
      </w:r>
      <w:r w:rsidRPr="004613C7">
        <w:rPr>
          <w:rFonts w:ascii="Avenir Next" w:hAnsi="Avenir Next"/>
          <w:sz w:val="24"/>
          <w:szCs w:val="24"/>
        </w:rPr>
        <w:t>con</w:t>
      </w:r>
      <w:r w:rsidR="00AA5394" w:rsidRPr="002667B2">
        <w:rPr>
          <w:rFonts w:ascii="Avenir Next" w:hAnsi="Avenir Next"/>
          <w:sz w:val="24"/>
          <w:szCs w:val="24"/>
        </w:rPr>
        <w:t xml:space="preserve"> acuarela atribuidas al artista costarricense Fausto Pacheco Hernández (1899-1966), denominadas </w:t>
      </w:r>
      <w:r w:rsidR="00AA5394" w:rsidRPr="002667B2">
        <w:rPr>
          <w:rFonts w:ascii="Avenir Next" w:hAnsi="Avenir Next"/>
          <w:i/>
          <w:sz w:val="24"/>
          <w:szCs w:val="24"/>
        </w:rPr>
        <w:t>Paisaje con casa campesina</w:t>
      </w:r>
      <w:r w:rsidR="00AA5394" w:rsidRPr="002667B2">
        <w:rPr>
          <w:rFonts w:ascii="Avenir Next" w:hAnsi="Avenir Next"/>
          <w:sz w:val="24"/>
          <w:szCs w:val="24"/>
        </w:rPr>
        <w:t xml:space="preserve"> y </w:t>
      </w:r>
      <w:r w:rsidR="00AA5394" w:rsidRPr="002667B2">
        <w:rPr>
          <w:rFonts w:ascii="Avenir Next" w:hAnsi="Avenir Next"/>
          <w:i/>
          <w:sz w:val="24"/>
          <w:szCs w:val="24"/>
        </w:rPr>
        <w:t>El puente</w:t>
      </w:r>
      <w:r w:rsidR="00AA0F70" w:rsidRPr="00AA0F70">
        <w:rPr>
          <w:rFonts w:ascii="Avenir Next" w:hAnsi="Avenir Next"/>
          <w:bCs/>
          <w:sz w:val="24"/>
          <w:szCs w:val="24"/>
        </w:rPr>
        <w:t>,</w:t>
      </w:r>
      <w:r w:rsidR="00AA5394" w:rsidRPr="002667B2">
        <w:rPr>
          <w:rFonts w:ascii="Avenir Next" w:hAnsi="Avenir Next"/>
          <w:sz w:val="24"/>
          <w:szCs w:val="24"/>
        </w:rPr>
        <w:t xml:space="preserve"> las cuales pertenecen a la colección del Banco Central de Costa Rica. Para llevar a cabo </w:t>
      </w:r>
      <w:r w:rsidR="00AA5394" w:rsidRPr="00AA0F70">
        <w:rPr>
          <w:rFonts w:ascii="Avenir Next" w:hAnsi="Avenir Next"/>
          <w:sz w:val="24"/>
          <w:szCs w:val="24"/>
        </w:rPr>
        <w:t>e</w:t>
      </w:r>
      <w:r w:rsidR="00AA0F70" w:rsidRPr="00AA0F70">
        <w:rPr>
          <w:rFonts w:ascii="Avenir Next" w:hAnsi="Avenir Next"/>
          <w:sz w:val="24"/>
          <w:szCs w:val="24"/>
        </w:rPr>
        <w:t>l</w:t>
      </w:r>
      <w:r w:rsidR="00AA5394" w:rsidRPr="00AA0F70">
        <w:rPr>
          <w:rFonts w:ascii="Avenir Next" w:hAnsi="Avenir Next"/>
          <w:sz w:val="24"/>
          <w:szCs w:val="24"/>
        </w:rPr>
        <w:t xml:space="preserve"> análisis</w:t>
      </w:r>
      <w:r w:rsidR="00AA5394" w:rsidRPr="002667B2">
        <w:rPr>
          <w:rFonts w:ascii="Avenir Next" w:hAnsi="Avenir Next"/>
          <w:sz w:val="24"/>
          <w:szCs w:val="24"/>
        </w:rPr>
        <w:t xml:space="preserve">, se aplicó un enfoque científico de análisis múltiple (ver </w:t>
      </w:r>
      <w:r w:rsidR="0006572B">
        <w:rPr>
          <w:rFonts w:ascii="Avenir Next" w:hAnsi="Avenir Next"/>
          <w:sz w:val="24"/>
          <w:szCs w:val="24"/>
        </w:rPr>
        <w:t>F</w:t>
      </w:r>
      <w:r w:rsidR="00AA5394" w:rsidRPr="002667B2">
        <w:rPr>
          <w:rFonts w:ascii="Avenir Next" w:hAnsi="Avenir Next"/>
          <w:sz w:val="24"/>
          <w:szCs w:val="24"/>
        </w:rPr>
        <w:t xml:space="preserve">igura 1) que incluye: fotografía multiespectral (MSI, por sus siglas en inglés), herramientas computacionales para la observación de imágenes, posible determinación de la paleta pictórica del artista y zonas de interés para el análisis microbiológico </w:t>
      </w:r>
      <w:r w:rsidR="00762C3A">
        <w:rPr>
          <w:rFonts w:ascii="Avenir Next" w:hAnsi="Avenir Next"/>
          <w:sz w:val="24"/>
          <w:szCs w:val="24"/>
        </w:rPr>
        <w:t xml:space="preserve">para identificar los </w:t>
      </w:r>
      <w:r w:rsidR="00AA5394" w:rsidRPr="002667B2">
        <w:rPr>
          <w:rFonts w:ascii="Avenir Next" w:hAnsi="Avenir Next"/>
          <w:sz w:val="24"/>
          <w:szCs w:val="24"/>
        </w:rPr>
        <w:t xml:space="preserve">microorganismos que podrían estar deteriorando las obras pictóricas. </w:t>
      </w:r>
      <w:r w:rsidR="00AA0F70">
        <w:rPr>
          <w:rFonts w:ascii="Avenir Next" w:hAnsi="Avenir Next"/>
          <w:sz w:val="24"/>
          <w:szCs w:val="24"/>
        </w:rPr>
        <w:t>Este estudio</w:t>
      </w:r>
      <w:r w:rsidR="00AA5394" w:rsidRPr="002667B2">
        <w:rPr>
          <w:rFonts w:ascii="Avenir Next" w:hAnsi="Avenir Next"/>
          <w:sz w:val="24"/>
          <w:szCs w:val="24"/>
        </w:rPr>
        <w:t xml:space="preserve"> es considerad</w:t>
      </w:r>
      <w:r w:rsidR="00AA0F70">
        <w:rPr>
          <w:rFonts w:ascii="Avenir Next" w:hAnsi="Avenir Next"/>
          <w:sz w:val="24"/>
          <w:szCs w:val="24"/>
        </w:rPr>
        <w:t>o</w:t>
      </w:r>
      <w:r w:rsidR="00AA5394" w:rsidRPr="002667B2">
        <w:rPr>
          <w:rFonts w:ascii="Avenir Next" w:hAnsi="Avenir Next"/>
          <w:sz w:val="24"/>
          <w:szCs w:val="24"/>
        </w:rPr>
        <w:t xml:space="preserve"> de gran </w:t>
      </w:r>
      <w:r w:rsidR="00AA0F70">
        <w:rPr>
          <w:rFonts w:ascii="Avenir Next" w:hAnsi="Avenir Next"/>
          <w:sz w:val="24"/>
          <w:szCs w:val="24"/>
        </w:rPr>
        <w:t>inter</w:t>
      </w:r>
      <w:r w:rsidR="00AA0F70" w:rsidRPr="00AA0F70">
        <w:rPr>
          <w:rFonts w:ascii="Avenir Next" w:hAnsi="Avenir Next"/>
          <w:sz w:val="24"/>
          <w:szCs w:val="24"/>
        </w:rPr>
        <w:t>és</w:t>
      </w:r>
      <w:r w:rsidR="00AA5394" w:rsidRPr="002667B2">
        <w:rPr>
          <w:rFonts w:ascii="Avenir Next" w:hAnsi="Avenir Next"/>
          <w:sz w:val="24"/>
          <w:szCs w:val="24"/>
        </w:rPr>
        <w:t xml:space="preserve"> ya que es el punto de partida para establecer indicadores que permitan en el futuro valorar la autenticidad de las obras de arte del artista nacional Fausto Pacheco Hernández. Cabe resaltar que únicamente se están estudiando dos obras y los resultados obtenidos, hasta el momento, no son determinantes para definir la autenticidad de las obras.</w:t>
      </w:r>
    </w:p>
    <w:p w14:paraId="05F61B8A" w14:textId="77777777" w:rsidR="001911ED" w:rsidRDefault="001911ED" w:rsidP="00AA0F70">
      <w:pPr>
        <w:spacing w:after="200" w:line="240" w:lineRule="auto"/>
        <w:jc w:val="center"/>
        <w:rPr>
          <w:rFonts w:ascii="Avenir Next" w:hAnsi="Avenir Next"/>
          <w:b/>
        </w:rPr>
      </w:pPr>
    </w:p>
    <w:p w14:paraId="3A714B2E" w14:textId="77777777" w:rsidR="001911ED" w:rsidRDefault="001911ED" w:rsidP="00AA0F70">
      <w:pPr>
        <w:spacing w:after="200" w:line="240" w:lineRule="auto"/>
        <w:jc w:val="center"/>
        <w:rPr>
          <w:rFonts w:ascii="Avenir Next" w:hAnsi="Avenir Next"/>
          <w:b/>
        </w:rPr>
      </w:pPr>
    </w:p>
    <w:p w14:paraId="165F8E52" w14:textId="77777777" w:rsidR="00D92F0A" w:rsidRDefault="00D92F0A" w:rsidP="00AA0F70">
      <w:pPr>
        <w:spacing w:after="200" w:line="240" w:lineRule="auto"/>
        <w:jc w:val="center"/>
        <w:rPr>
          <w:rFonts w:ascii="Avenir Next" w:hAnsi="Avenir Next"/>
          <w:b/>
        </w:rPr>
      </w:pPr>
    </w:p>
    <w:p w14:paraId="0D72C2BD" w14:textId="77777777" w:rsidR="00D92F0A" w:rsidRDefault="00AA5394" w:rsidP="00AA0F70">
      <w:pPr>
        <w:spacing w:after="200" w:line="240" w:lineRule="auto"/>
        <w:jc w:val="center"/>
        <w:rPr>
          <w:rFonts w:ascii="Avenir Next" w:hAnsi="Avenir Next"/>
        </w:rPr>
      </w:pPr>
      <w:r w:rsidRPr="002667B2">
        <w:rPr>
          <w:rFonts w:ascii="Avenir Next" w:hAnsi="Avenir Next"/>
          <w:b/>
        </w:rPr>
        <w:lastRenderedPageBreak/>
        <w:t>Figura 1.</w:t>
      </w:r>
      <w:r w:rsidRPr="002667B2">
        <w:rPr>
          <w:rFonts w:ascii="Avenir Next" w:hAnsi="Avenir Next"/>
        </w:rPr>
        <w:t xml:space="preserve"> </w:t>
      </w:r>
    </w:p>
    <w:p w14:paraId="222AF76E" w14:textId="06A58157" w:rsidR="00AA0F70" w:rsidRPr="00D92F0A" w:rsidRDefault="00AA5394" w:rsidP="00AA0F70">
      <w:pPr>
        <w:spacing w:after="200" w:line="240" w:lineRule="auto"/>
        <w:jc w:val="center"/>
        <w:rPr>
          <w:rFonts w:ascii="Avenir Next" w:hAnsi="Avenir Next"/>
          <w:i/>
        </w:rPr>
      </w:pPr>
      <w:r w:rsidRPr="00D92F0A">
        <w:rPr>
          <w:rFonts w:ascii="Avenir Next" w:hAnsi="Avenir Next"/>
          <w:b/>
          <w:i/>
        </w:rPr>
        <w:t>Descripción general del análisis múltiple.</w:t>
      </w:r>
      <w:r w:rsidRPr="00D92F0A">
        <w:rPr>
          <w:rFonts w:ascii="Avenir Next" w:hAnsi="Avenir Next"/>
          <w:i/>
        </w:rPr>
        <w:t xml:space="preserve"> Representación artística basada en la obra Paisaje con casa campesina que muestra el uso de herramientas computacionales novedosas e imágenes multiespectrales para el estudio de obras pictóricas. A medida que se analizan las fotografías, se revela la información del proceso creativo del artista, se percibe la paleta pictórica utilizada, e incluso se identifican posibles zonas con biodeterioro causado por el paso del tiempo.</w:t>
      </w:r>
    </w:p>
    <w:p w14:paraId="6563069C" w14:textId="77777777" w:rsidR="00144113" w:rsidRPr="002667B2" w:rsidRDefault="00A45721">
      <w:pPr>
        <w:spacing w:after="200" w:line="240" w:lineRule="auto"/>
        <w:jc w:val="center"/>
        <w:rPr>
          <w:rFonts w:ascii="Avenir Next" w:hAnsi="Avenir Next"/>
          <w:sz w:val="24"/>
          <w:szCs w:val="24"/>
        </w:rPr>
      </w:pPr>
      <w:r w:rsidRPr="002667B2">
        <w:rPr>
          <w:rFonts w:ascii="Avenir Next" w:hAnsi="Avenir Next"/>
          <w:noProof/>
          <w:sz w:val="24"/>
          <w:szCs w:val="24"/>
          <w:lang w:eastAsia="es-CR"/>
        </w:rPr>
        <w:drawing>
          <wp:anchor distT="0" distB="0" distL="114300" distR="114300" simplePos="0" relativeHeight="251660288" behindDoc="0" locked="0" layoutInCell="1" allowOverlap="1" wp14:anchorId="434A747C" wp14:editId="1A639D27">
            <wp:simplePos x="0" y="0"/>
            <wp:positionH relativeFrom="margin">
              <wp:align>center</wp:align>
            </wp:positionH>
            <wp:positionV relativeFrom="paragraph">
              <wp:posOffset>6985</wp:posOffset>
            </wp:positionV>
            <wp:extent cx="3600000" cy="2399808"/>
            <wp:effectExtent l="0" t="0" r="635"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0" cy="2399808"/>
                    </a:xfrm>
                    <a:prstGeom prst="rect">
                      <a:avLst/>
                    </a:prstGeom>
                  </pic:spPr>
                </pic:pic>
              </a:graphicData>
            </a:graphic>
          </wp:anchor>
        </w:drawing>
      </w:r>
      <w:r w:rsidRPr="002667B2">
        <w:rPr>
          <w:rFonts w:ascii="Avenir Next" w:hAnsi="Avenir Next"/>
          <w:sz w:val="24"/>
          <w:szCs w:val="24"/>
        </w:rPr>
        <w:t xml:space="preserve"> </w:t>
      </w:r>
    </w:p>
    <w:p w14:paraId="23016BBC" w14:textId="77777777" w:rsidR="00A45721" w:rsidRPr="002667B2" w:rsidRDefault="00A45721">
      <w:pPr>
        <w:spacing w:after="200" w:line="240" w:lineRule="auto"/>
        <w:jc w:val="both"/>
        <w:rPr>
          <w:rFonts w:ascii="Avenir Next" w:hAnsi="Avenir Next"/>
          <w:sz w:val="24"/>
          <w:szCs w:val="24"/>
        </w:rPr>
      </w:pPr>
    </w:p>
    <w:p w14:paraId="088ED5B4" w14:textId="77777777" w:rsidR="00A45721" w:rsidRPr="002667B2" w:rsidRDefault="00A45721">
      <w:pPr>
        <w:spacing w:after="200" w:line="240" w:lineRule="auto"/>
        <w:jc w:val="both"/>
        <w:rPr>
          <w:rFonts w:ascii="Avenir Next" w:hAnsi="Avenir Next"/>
          <w:sz w:val="24"/>
          <w:szCs w:val="24"/>
        </w:rPr>
      </w:pPr>
    </w:p>
    <w:p w14:paraId="6AA91C07" w14:textId="77777777" w:rsidR="00A45721" w:rsidRPr="002667B2" w:rsidRDefault="00A45721">
      <w:pPr>
        <w:spacing w:after="200" w:line="240" w:lineRule="auto"/>
        <w:jc w:val="both"/>
        <w:rPr>
          <w:rFonts w:ascii="Avenir Next" w:hAnsi="Avenir Next"/>
          <w:sz w:val="24"/>
          <w:szCs w:val="24"/>
        </w:rPr>
      </w:pPr>
    </w:p>
    <w:p w14:paraId="74A516E0" w14:textId="77777777" w:rsidR="00A45721" w:rsidRPr="002667B2" w:rsidRDefault="00A45721">
      <w:pPr>
        <w:spacing w:after="200" w:line="240" w:lineRule="auto"/>
        <w:jc w:val="both"/>
        <w:rPr>
          <w:rFonts w:ascii="Avenir Next" w:hAnsi="Avenir Next"/>
          <w:sz w:val="24"/>
          <w:szCs w:val="24"/>
        </w:rPr>
      </w:pPr>
    </w:p>
    <w:p w14:paraId="7C6B8383" w14:textId="77777777" w:rsidR="00A45721" w:rsidRPr="002667B2" w:rsidRDefault="00A45721">
      <w:pPr>
        <w:spacing w:after="200" w:line="240" w:lineRule="auto"/>
        <w:jc w:val="both"/>
        <w:rPr>
          <w:rFonts w:ascii="Avenir Next" w:hAnsi="Avenir Next"/>
          <w:sz w:val="24"/>
          <w:szCs w:val="24"/>
        </w:rPr>
      </w:pPr>
    </w:p>
    <w:p w14:paraId="43A12769" w14:textId="77777777" w:rsidR="00A45721" w:rsidRDefault="00A45721">
      <w:pPr>
        <w:spacing w:after="200" w:line="240" w:lineRule="auto"/>
        <w:jc w:val="both"/>
        <w:rPr>
          <w:rFonts w:ascii="Avenir Next" w:hAnsi="Avenir Next"/>
          <w:sz w:val="24"/>
          <w:szCs w:val="24"/>
        </w:rPr>
      </w:pPr>
    </w:p>
    <w:p w14:paraId="1871B380" w14:textId="77777777" w:rsidR="00AA0F70" w:rsidRPr="002667B2" w:rsidRDefault="00AA0F70">
      <w:pPr>
        <w:spacing w:after="200" w:line="240" w:lineRule="auto"/>
        <w:jc w:val="both"/>
        <w:rPr>
          <w:rFonts w:ascii="Avenir Next" w:hAnsi="Avenir Next"/>
          <w:sz w:val="24"/>
          <w:szCs w:val="24"/>
        </w:rPr>
      </w:pPr>
    </w:p>
    <w:p w14:paraId="5CFFEC7F" w14:textId="6BC41321" w:rsidR="00A45721" w:rsidRPr="00D92F0A" w:rsidRDefault="00A45721">
      <w:pPr>
        <w:spacing w:after="200" w:line="240" w:lineRule="auto"/>
        <w:jc w:val="both"/>
        <w:rPr>
          <w:rFonts w:ascii="Avenir Next" w:hAnsi="Avenir Next"/>
          <w:b/>
          <w:bCs/>
          <w:szCs w:val="20"/>
        </w:rPr>
      </w:pPr>
      <w:r w:rsidRPr="00D92F0A">
        <w:rPr>
          <w:rFonts w:ascii="Avenir Next" w:hAnsi="Avenir Next"/>
          <w:b/>
          <w:bCs/>
          <w:szCs w:val="20"/>
        </w:rPr>
        <w:t xml:space="preserve">                               </w:t>
      </w:r>
      <w:r w:rsidR="00B975C1" w:rsidRPr="00D92F0A">
        <w:rPr>
          <w:rFonts w:ascii="Avenir Next" w:hAnsi="Avenir Next"/>
          <w:b/>
          <w:bCs/>
          <w:szCs w:val="20"/>
        </w:rPr>
        <w:t xml:space="preserve">       </w:t>
      </w:r>
      <w:r w:rsidRPr="00D92F0A">
        <w:rPr>
          <w:rFonts w:ascii="Avenir Next" w:hAnsi="Avenir Next"/>
          <w:b/>
          <w:bCs/>
          <w:szCs w:val="20"/>
        </w:rPr>
        <w:t xml:space="preserve"> </w:t>
      </w:r>
      <w:r w:rsidR="00D92F0A">
        <w:rPr>
          <w:rFonts w:ascii="Avenir Next" w:hAnsi="Avenir Next"/>
          <w:b/>
          <w:bCs/>
          <w:szCs w:val="20"/>
        </w:rPr>
        <w:t xml:space="preserve"> </w:t>
      </w:r>
      <w:r w:rsidRPr="00D92F0A">
        <w:rPr>
          <w:rFonts w:ascii="Avenir Next" w:hAnsi="Avenir Next"/>
          <w:bCs/>
          <w:i/>
          <w:szCs w:val="20"/>
        </w:rPr>
        <w:t>Fuente:</w:t>
      </w:r>
      <w:r w:rsidR="00AA0F70" w:rsidRPr="00D92F0A">
        <w:rPr>
          <w:rFonts w:ascii="Avenir Next" w:hAnsi="Avenir Next"/>
          <w:b/>
          <w:bCs/>
          <w:szCs w:val="20"/>
        </w:rPr>
        <w:t xml:space="preserve"> </w:t>
      </w:r>
      <w:r w:rsidR="00AA0F70" w:rsidRPr="00D92F0A">
        <w:rPr>
          <w:rFonts w:ascii="Avenir Next" w:hAnsi="Avenir Next"/>
          <w:szCs w:val="20"/>
        </w:rPr>
        <w:t>Elaboración propia</w:t>
      </w:r>
      <w:r w:rsidR="001911ED" w:rsidRPr="00D92F0A">
        <w:rPr>
          <w:rFonts w:ascii="Avenir Next" w:hAnsi="Avenir Next"/>
          <w:szCs w:val="20"/>
        </w:rPr>
        <w:t xml:space="preserve"> hecha por </w:t>
      </w:r>
      <w:r w:rsidR="00AA0F70" w:rsidRPr="00D92F0A">
        <w:rPr>
          <w:rFonts w:ascii="Avenir Next" w:hAnsi="Avenir Next"/>
          <w:szCs w:val="20"/>
        </w:rPr>
        <w:t>Mariana Viales Leandro</w:t>
      </w:r>
      <w:r w:rsidR="00D92F0A">
        <w:rPr>
          <w:rFonts w:ascii="Avenir Next" w:hAnsi="Avenir Next"/>
          <w:szCs w:val="20"/>
        </w:rPr>
        <w:t>, 2022</w:t>
      </w:r>
      <w:r w:rsidR="001911ED" w:rsidRPr="00D92F0A">
        <w:rPr>
          <w:rFonts w:ascii="Avenir Next" w:hAnsi="Avenir Next"/>
          <w:szCs w:val="20"/>
        </w:rPr>
        <w:t>.</w:t>
      </w:r>
    </w:p>
    <w:p w14:paraId="6120AA6A" w14:textId="566817D4"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En el caso de las pinturas de acuarela, las oportunidades de adquisición estratigráfica de muestras individuales son limitadas (Kogou </w:t>
      </w:r>
      <w:r w:rsidRPr="002667B2">
        <w:rPr>
          <w:rFonts w:ascii="Avenir Next" w:hAnsi="Avenir Next"/>
          <w:iCs/>
          <w:sz w:val="24"/>
          <w:szCs w:val="24"/>
        </w:rPr>
        <w:t>et al.,</w:t>
      </w:r>
      <w:r w:rsidRPr="002667B2">
        <w:rPr>
          <w:rFonts w:ascii="Avenir Next" w:hAnsi="Avenir Next"/>
          <w:sz w:val="24"/>
          <w:szCs w:val="24"/>
        </w:rPr>
        <w:t xml:space="preserve"> 2015). </w:t>
      </w:r>
      <w:r w:rsidR="00344958">
        <w:rPr>
          <w:rFonts w:ascii="Avenir Next" w:hAnsi="Avenir Next"/>
          <w:sz w:val="24"/>
          <w:szCs w:val="24"/>
        </w:rPr>
        <w:t>Por ende</w:t>
      </w:r>
      <w:r w:rsidR="00C45952">
        <w:rPr>
          <w:rFonts w:ascii="Avenir Next" w:hAnsi="Avenir Next"/>
          <w:sz w:val="24"/>
          <w:szCs w:val="24"/>
        </w:rPr>
        <w:t>,</w:t>
      </w:r>
      <w:r w:rsidRPr="002667B2">
        <w:rPr>
          <w:rFonts w:ascii="Avenir Next" w:hAnsi="Avenir Next"/>
          <w:sz w:val="24"/>
          <w:szCs w:val="24"/>
        </w:rPr>
        <w:t xml:space="preserve"> se busca una estrategia de tipo científico multianalítica no invasiva y no destructiva para la identificación </w:t>
      </w:r>
      <w:r w:rsidRPr="002667B2">
        <w:rPr>
          <w:rFonts w:ascii="Avenir Next" w:hAnsi="Avenir Next"/>
          <w:i/>
          <w:sz w:val="24"/>
          <w:szCs w:val="24"/>
        </w:rPr>
        <w:t xml:space="preserve">in situ </w:t>
      </w:r>
      <w:r w:rsidRPr="002667B2">
        <w:rPr>
          <w:rFonts w:ascii="Avenir Next" w:hAnsi="Avenir Next"/>
          <w:sz w:val="24"/>
          <w:szCs w:val="24"/>
        </w:rPr>
        <w:t xml:space="preserve">de pigmentos y aglutinantes en una variedad de pinturas, desde murales hasta miniaturas (Kogou </w:t>
      </w:r>
      <w:r w:rsidRPr="002667B2">
        <w:rPr>
          <w:rFonts w:ascii="Avenir Next" w:hAnsi="Avenir Next"/>
          <w:iCs/>
          <w:sz w:val="24"/>
          <w:szCs w:val="24"/>
        </w:rPr>
        <w:t>et al.,</w:t>
      </w:r>
      <w:r w:rsidRPr="002667B2">
        <w:rPr>
          <w:rFonts w:ascii="Avenir Next" w:hAnsi="Avenir Next"/>
          <w:sz w:val="24"/>
          <w:szCs w:val="24"/>
        </w:rPr>
        <w:t xml:space="preserve"> 2015; Barrantes-Madrigal </w:t>
      </w:r>
      <w:r w:rsidRPr="002667B2">
        <w:rPr>
          <w:rFonts w:ascii="Avenir Next" w:hAnsi="Avenir Next"/>
          <w:iCs/>
          <w:sz w:val="24"/>
          <w:szCs w:val="24"/>
        </w:rPr>
        <w:t>et al.,</w:t>
      </w:r>
      <w:r w:rsidRPr="002667B2">
        <w:rPr>
          <w:rFonts w:ascii="Avenir Next" w:hAnsi="Avenir Next"/>
          <w:sz w:val="24"/>
          <w:szCs w:val="24"/>
        </w:rPr>
        <w:t xml:space="preserve"> 2021). Lo anterior, </w:t>
      </w:r>
      <w:r w:rsidR="002D663C">
        <w:rPr>
          <w:rFonts w:ascii="Avenir Next" w:hAnsi="Avenir Next"/>
          <w:sz w:val="24"/>
          <w:szCs w:val="24"/>
        </w:rPr>
        <w:t>con</w:t>
      </w:r>
      <w:r w:rsidRPr="002667B2">
        <w:rPr>
          <w:rFonts w:ascii="Avenir Next" w:hAnsi="Avenir Next"/>
          <w:sz w:val="24"/>
          <w:szCs w:val="24"/>
        </w:rPr>
        <w:t xml:space="preserve"> miras de llevar a cabo una autentificación de obras pictóricas en acuarela. </w:t>
      </w:r>
    </w:p>
    <w:p w14:paraId="3D367C06" w14:textId="5D669A62"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Principalmente, MSI es una técnica no invasiva </w:t>
      </w:r>
      <w:r w:rsidR="00EF0FF4">
        <w:rPr>
          <w:rFonts w:ascii="Avenir Next" w:hAnsi="Avenir Next"/>
          <w:sz w:val="24"/>
          <w:szCs w:val="24"/>
        </w:rPr>
        <w:t xml:space="preserve">con </w:t>
      </w:r>
      <w:r w:rsidRPr="002667B2">
        <w:rPr>
          <w:rFonts w:ascii="Avenir Next" w:hAnsi="Avenir Next"/>
          <w:sz w:val="24"/>
          <w:szCs w:val="24"/>
        </w:rPr>
        <w:t xml:space="preserve">la ventaja </w:t>
      </w:r>
      <w:r w:rsidR="00EF0FF4">
        <w:rPr>
          <w:rFonts w:ascii="Avenir Next" w:hAnsi="Avenir Next"/>
          <w:sz w:val="24"/>
          <w:szCs w:val="24"/>
        </w:rPr>
        <w:t xml:space="preserve">de </w:t>
      </w:r>
      <w:r w:rsidRPr="002667B2">
        <w:rPr>
          <w:rFonts w:ascii="Avenir Next" w:hAnsi="Avenir Next"/>
          <w:sz w:val="24"/>
          <w:szCs w:val="24"/>
        </w:rPr>
        <w:t xml:space="preserve">que se puede realizar en cualquier objeto y fotografiar desde cualquier ángulo (Morice </w:t>
      </w:r>
      <w:r w:rsidRPr="002667B2">
        <w:rPr>
          <w:rFonts w:ascii="Avenir Next" w:hAnsi="Avenir Next"/>
          <w:iCs/>
          <w:sz w:val="24"/>
          <w:szCs w:val="24"/>
        </w:rPr>
        <w:t>et al.,</w:t>
      </w:r>
      <w:r w:rsidRPr="002667B2">
        <w:rPr>
          <w:rFonts w:ascii="Avenir Next" w:hAnsi="Avenir Next"/>
          <w:sz w:val="24"/>
          <w:szCs w:val="24"/>
        </w:rPr>
        <w:t xml:space="preserve"> 2019). Con MSI es posible obtener fotografías de la obra en diferentes regiones del espectro electromagnético, en otros términos, observar la obra desde diferentes miradas (Liang, 2012). Por medio de la fotografía en el espectro visible (VIS) se examina de forma detallada la obra (Cosentino, 2015a, 2015b). En la región ultravioleta (UV), las imágenes adquiridas revelan características de las capas más externas de la pintura (Cosentino, 2015c).</w:t>
      </w:r>
    </w:p>
    <w:p w14:paraId="6E40D203" w14:textId="37CE3755"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Hoy</w:t>
      </w:r>
      <w:r w:rsidR="00CF5DD1">
        <w:rPr>
          <w:rFonts w:ascii="Avenir Next" w:hAnsi="Avenir Next"/>
          <w:sz w:val="24"/>
          <w:szCs w:val="24"/>
        </w:rPr>
        <w:t>,</w:t>
      </w:r>
      <w:r w:rsidRPr="002667B2">
        <w:rPr>
          <w:rFonts w:ascii="Avenir Next" w:hAnsi="Avenir Next"/>
          <w:sz w:val="24"/>
          <w:szCs w:val="24"/>
        </w:rPr>
        <w:t xml:space="preserve"> es posible combinar MSI con herramientas computacionales principalmente para la simulación de restauraciones, mejorar la calidad de la imagen e identificar la paleta pictórica utilizada sin intervenir el artefacto analizado de manera invasiva. Concretamente, con la herramienta computacional denominada </w:t>
      </w:r>
      <w:r w:rsidRPr="002667B2">
        <w:rPr>
          <w:rFonts w:ascii="Avenir Next" w:hAnsi="Avenir Next"/>
          <w:i/>
          <w:sz w:val="24"/>
          <w:szCs w:val="24"/>
        </w:rPr>
        <w:t xml:space="preserve">RegionsOfInterest </w:t>
      </w:r>
      <w:r w:rsidRPr="002667B2">
        <w:rPr>
          <w:rFonts w:ascii="Avenir Next" w:hAnsi="Avenir Next"/>
          <w:sz w:val="24"/>
          <w:szCs w:val="24"/>
        </w:rPr>
        <w:t xml:space="preserve">se puede calcular con precisión la intensidad luminosa dentro de las regiones seleccionadas por el usuario en una fotografía de alta resolución del objeto en estudio (Barrantes-Madrigal </w:t>
      </w:r>
      <w:r w:rsidRPr="002667B2">
        <w:rPr>
          <w:rFonts w:ascii="Avenir Next" w:hAnsi="Avenir Next"/>
          <w:iCs/>
          <w:sz w:val="24"/>
          <w:szCs w:val="24"/>
        </w:rPr>
        <w:t>et al.,</w:t>
      </w:r>
      <w:r w:rsidRPr="002667B2">
        <w:rPr>
          <w:rFonts w:ascii="Avenir Next" w:hAnsi="Avenir Next"/>
          <w:sz w:val="24"/>
          <w:szCs w:val="24"/>
        </w:rPr>
        <w:t xml:space="preserve"> 2021). A partir de lo anterior, es posible determinar la paleta pictórica utilizada, así como zonas de interés para llevar a cabo muestreos microbiológicos guiados y eficientes. La prevención del crecimiento de diversos microorganismos en las obras de arte es un desafío para </w:t>
      </w:r>
      <w:r w:rsidR="00FE1243">
        <w:rPr>
          <w:rFonts w:ascii="Avenir Next" w:hAnsi="Avenir Next"/>
          <w:sz w:val="24"/>
          <w:szCs w:val="24"/>
        </w:rPr>
        <w:t>su</w:t>
      </w:r>
      <w:r w:rsidRPr="002667B2">
        <w:rPr>
          <w:rFonts w:ascii="Avenir Next" w:hAnsi="Avenir Next"/>
          <w:sz w:val="24"/>
          <w:szCs w:val="24"/>
        </w:rPr>
        <w:t xml:space="preserve"> conservación</w:t>
      </w:r>
      <w:r w:rsidR="004613C7">
        <w:rPr>
          <w:rFonts w:ascii="Avenir Next" w:hAnsi="Avenir Next"/>
          <w:sz w:val="24"/>
          <w:szCs w:val="24"/>
        </w:rPr>
        <w:t xml:space="preserve"> y de ahí el interés </w:t>
      </w:r>
      <w:r w:rsidRPr="002667B2">
        <w:rPr>
          <w:rFonts w:ascii="Avenir Next" w:hAnsi="Avenir Next"/>
          <w:sz w:val="24"/>
          <w:szCs w:val="24"/>
        </w:rPr>
        <w:t xml:space="preserve">de determinar qué elementos podrían estar afectando los objetos históricos (Sterflinger, 2010).  </w:t>
      </w:r>
    </w:p>
    <w:p w14:paraId="47C5A324" w14:textId="77777777" w:rsidR="00144113" w:rsidRDefault="00AA5394">
      <w:pPr>
        <w:spacing w:after="200" w:line="240" w:lineRule="auto"/>
        <w:jc w:val="both"/>
        <w:rPr>
          <w:rFonts w:ascii="Avenir Next" w:hAnsi="Avenir Next"/>
          <w:sz w:val="24"/>
          <w:szCs w:val="24"/>
        </w:rPr>
      </w:pPr>
      <w:r w:rsidRPr="002667B2">
        <w:rPr>
          <w:rFonts w:ascii="Avenir Next" w:hAnsi="Avenir Next"/>
          <w:sz w:val="24"/>
          <w:szCs w:val="24"/>
        </w:rPr>
        <w:lastRenderedPageBreak/>
        <w:t xml:space="preserve">Debido a la relevancia del significado del término en nuestro estudio, en la siguiente sección se define el estado de conservación e indicadores que afectan en las obras pictóricas, así como un resumen de la vida y la importancia del artista en estudio. Posteriormente se hace un resumen de la metodología </w:t>
      </w:r>
      <w:r w:rsidRPr="004613C7">
        <w:rPr>
          <w:rFonts w:ascii="Avenir Next" w:hAnsi="Avenir Next"/>
          <w:sz w:val="24"/>
          <w:szCs w:val="24"/>
        </w:rPr>
        <w:t>emplead</w:t>
      </w:r>
      <w:r w:rsidR="001E2D4A" w:rsidRPr="004613C7">
        <w:rPr>
          <w:rFonts w:ascii="Avenir Next" w:hAnsi="Avenir Next"/>
          <w:sz w:val="24"/>
          <w:szCs w:val="24"/>
        </w:rPr>
        <w:t>a</w:t>
      </w:r>
      <w:r w:rsidRPr="004613C7">
        <w:rPr>
          <w:rFonts w:ascii="Avenir Next" w:hAnsi="Avenir Next"/>
          <w:sz w:val="24"/>
          <w:szCs w:val="24"/>
        </w:rPr>
        <w:t xml:space="preserve">. </w:t>
      </w:r>
      <w:r w:rsidR="001E2D4A" w:rsidRPr="004613C7">
        <w:rPr>
          <w:rFonts w:ascii="Avenir Next" w:hAnsi="Avenir Next"/>
          <w:sz w:val="24"/>
          <w:szCs w:val="24"/>
        </w:rPr>
        <w:t>S</w:t>
      </w:r>
      <w:r w:rsidRPr="004613C7">
        <w:rPr>
          <w:rFonts w:ascii="Avenir Next" w:hAnsi="Avenir Next"/>
          <w:sz w:val="24"/>
          <w:szCs w:val="24"/>
        </w:rPr>
        <w:t xml:space="preserve">e continúa presentando el análisis de </w:t>
      </w:r>
      <w:r w:rsidR="004613C7">
        <w:rPr>
          <w:rFonts w:ascii="Avenir Next" w:hAnsi="Avenir Next"/>
          <w:sz w:val="24"/>
          <w:szCs w:val="24"/>
        </w:rPr>
        <w:t xml:space="preserve">los </w:t>
      </w:r>
      <w:r w:rsidRPr="004613C7">
        <w:rPr>
          <w:rFonts w:ascii="Avenir Next" w:hAnsi="Avenir Next"/>
          <w:sz w:val="24"/>
          <w:szCs w:val="24"/>
        </w:rPr>
        <w:t>resultados más relevante</w:t>
      </w:r>
      <w:r w:rsidR="001E2D4A" w:rsidRPr="004613C7">
        <w:rPr>
          <w:rFonts w:ascii="Avenir Next" w:hAnsi="Avenir Next"/>
          <w:sz w:val="24"/>
          <w:szCs w:val="24"/>
        </w:rPr>
        <w:t>s</w:t>
      </w:r>
      <w:r w:rsidR="00CD1B7A" w:rsidRPr="004613C7">
        <w:rPr>
          <w:rFonts w:ascii="Avenir Next" w:hAnsi="Avenir Next"/>
          <w:sz w:val="24"/>
          <w:szCs w:val="24"/>
        </w:rPr>
        <w:t xml:space="preserve"> y se describen las conclusiones</w:t>
      </w:r>
      <w:r w:rsidRPr="004613C7">
        <w:rPr>
          <w:rFonts w:ascii="Avenir Next" w:hAnsi="Avenir Next"/>
          <w:sz w:val="24"/>
          <w:szCs w:val="24"/>
        </w:rPr>
        <w:t>.</w:t>
      </w:r>
      <w:r w:rsidRPr="002667B2">
        <w:rPr>
          <w:rFonts w:ascii="Avenir Next" w:hAnsi="Avenir Next"/>
          <w:sz w:val="24"/>
          <w:szCs w:val="24"/>
        </w:rPr>
        <w:t xml:space="preserve"> </w:t>
      </w:r>
    </w:p>
    <w:p w14:paraId="04108535" w14:textId="3DAFEE37" w:rsidR="000D5C91" w:rsidRPr="002667B2" w:rsidRDefault="00B359C1">
      <w:pPr>
        <w:spacing w:after="200" w:line="240" w:lineRule="auto"/>
        <w:jc w:val="both"/>
        <w:rPr>
          <w:rFonts w:ascii="Avenir Next" w:hAnsi="Avenir Next"/>
          <w:sz w:val="24"/>
          <w:szCs w:val="24"/>
        </w:rPr>
      </w:pPr>
      <w:r>
        <w:rPr>
          <w:rFonts w:ascii="Avenir Next" w:hAnsi="Avenir Next"/>
          <w:b/>
          <w:sz w:val="24"/>
          <w:szCs w:val="24"/>
        </w:rPr>
        <w:t>Estado de Conservación</w:t>
      </w:r>
    </w:p>
    <w:p w14:paraId="08D2EFAA" w14:textId="05834714"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 xml:space="preserve">Según el Museo de Arte Costarricense el estado de conservación de una obra de arte es una revisión y valoración detallada de la pieza (MAC, 2019). </w:t>
      </w:r>
      <w:r w:rsidRPr="00486079">
        <w:rPr>
          <w:rFonts w:ascii="Avenir Next" w:hAnsi="Avenir Next"/>
          <w:sz w:val="24"/>
          <w:szCs w:val="24"/>
        </w:rPr>
        <w:t xml:space="preserve">El </w:t>
      </w:r>
      <w:r w:rsidR="00486079" w:rsidRPr="00486079">
        <w:rPr>
          <w:rFonts w:ascii="Avenir Next" w:hAnsi="Avenir Next"/>
          <w:sz w:val="24"/>
          <w:szCs w:val="24"/>
        </w:rPr>
        <w:t>propósito</w:t>
      </w:r>
      <w:r w:rsidRPr="00486079">
        <w:rPr>
          <w:rFonts w:ascii="Avenir Next" w:hAnsi="Avenir Next"/>
          <w:sz w:val="24"/>
          <w:szCs w:val="24"/>
        </w:rPr>
        <w:t xml:space="preserve"> es documentar la condición </w:t>
      </w:r>
      <w:r w:rsidR="00486079" w:rsidRPr="00486079">
        <w:rPr>
          <w:rFonts w:ascii="Avenir Next" w:hAnsi="Avenir Next"/>
          <w:sz w:val="24"/>
          <w:szCs w:val="24"/>
        </w:rPr>
        <w:t>del objeto</w:t>
      </w:r>
      <w:r w:rsidRPr="00486079">
        <w:rPr>
          <w:rFonts w:ascii="Avenir Next" w:hAnsi="Avenir Next"/>
          <w:sz w:val="24"/>
          <w:szCs w:val="24"/>
        </w:rPr>
        <w:t xml:space="preserve"> al momento del diagnóstico. Esta información es </w:t>
      </w:r>
      <w:r w:rsidR="00486079">
        <w:rPr>
          <w:rFonts w:ascii="Avenir Next" w:hAnsi="Avenir Next"/>
          <w:sz w:val="24"/>
          <w:szCs w:val="24"/>
        </w:rPr>
        <w:t>significativa</w:t>
      </w:r>
      <w:r w:rsidRPr="002667B2">
        <w:rPr>
          <w:rFonts w:ascii="Avenir Next" w:hAnsi="Avenir Next"/>
          <w:sz w:val="24"/>
          <w:szCs w:val="24"/>
        </w:rPr>
        <w:t xml:space="preserve"> para su manejo físico, así como para la definición de posibles propuestas de conservación y restauración. Cada obra tiene distintas características materiales que la hacen particular y esto se ve reflejado en daños o deterioros que pueden ser</w:t>
      </w:r>
      <w:r w:rsidR="00450257">
        <w:rPr>
          <w:rFonts w:ascii="Avenir Next" w:hAnsi="Avenir Next"/>
          <w:sz w:val="24"/>
          <w:szCs w:val="24"/>
        </w:rPr>
        <w:t>,</w:t>
      </w:r>
      <w:r w:rsidRPr="002667B2">
        <w:rPr>
          <w:rFonts w:ascii="Avenir Next" w:hAnsi="Avenir Next"/>
          <w:sz w:val="24"/>
          <w:szCs w:val="24"/>
        </w:rPr>
        <w:t xml:space="preserve"> tanto intrínsecos como producidos por agentes externos. Existen factores de deterioro que pueden comprometer el estado de una obra de arte. Por lo tanto, para comprender un estado de conservación </w:t>
      </w:r>
      <w:r w:rsidR="00486079">
        <w:rPr>
          <w:rFonts w:ascii="Avenir Next" w:hAnsi="Avenir Next"/>
          <w:sz w:val="24"/>
          <w:szCs w:val="24"/>
        </w:rPr>
        <w:t>se deben</w:t>
      </w:r>
      <w:r w:rsidRPr="002667B2">
        <w:rPr>
          <w:rFonts w:ascii="Avenir Next" w:hAnsi="Avenir Next"/>
          <w:sz w:val="24"/>
          <w:szCs w:val="24"/>
        </w:rPr>
        <w:t xml:space="preserve"> entender las diferentes características de la obra. </w:t>
      </w:r>
    </w:p>
    <w:p w14:paraId="1F410315" w14:textId="77777777"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Para analizar las acuarelas de Fausto Pacheco</w:t>
      </w:r>
      <w:r w:rsidR="004613C7">
        <w:rPr>
          <w:rFonts w:ascii="Avenir Next" w:hAnsi="Avenir Next"/>
          <w:sz w:val="24"/>
          <w:szCs w:val="24"/>
        </w:rPr>
        <w:t>,</w:t>
      </w:r>
      <w:r w:rsidRPr="002667B2">
        <w:rPr>
          <w:rFonts w:ascii="Avenir Next" w:hAnsi="Avenir Next"/>
          <w:sz w:val="24"/>
          <w:szCs w:val="24"/>
        </w:rPr>
        <w:t xml:space="preserve"> se proponen los siguientes tipos de análisis para </w:t>
      </w:r>
      <w:r w:rsidR="00486079">
        <w:rPr>
          <w:rFonts w:ascii="Avenir Next" w:hAnsi="Avenir Next"/>
          <w:sz w:val="24"/>
          <w:szCs w:val="24"/>
        </w:rPr>
        <w:t>determinar</w:t>
      </w:r>
      <w:r w:rsidR="004613C7">
        <w:rPr>
          <w:rFonts w:ascii="Avenir Next" w:hAnsi="Avenir Next"/>
          <w:sz w:val="24"/>
          <w:szCs w:val="24"/>
        </w:rPr>
        <w:t xml:space="preserve"> las condiciones físicas del objeto</w:t>
      </w:r>
      <w:r w:rsidR="00486079">
        <w:rPr>
          <w:rFonts w:ascii="Avenir Next" w:hAnsi="Avenir Next"/>
          <w:sz w:val="24"/>
          <w:szCs w:val="24"/>
        </w:rPr>
        <w:t>:</w:t>
      </w:r>
      <w:r w:rsidRPr="002667B2">
        <w:rPr>
          <w:rFonts w:ascii="Avenir Next" w:hAnsi="Avenir Next"/>
          <w:sz w:val="24"/>
          <w:szCs w:val="24"/>
        </w:rPr>
        <w:t xml:space="preserve"> indicadores de caracterización y estado de conservación. Los indicadores de caracterización son el conjunto de propiedades que componen un objeto, por ejemplo, el tipo de papel </w:t>
      </w:r>
      <w:r w:rsidRPr="000151F3">
        <w:rPr>
          <w:rFonts w:ascii="Avenir Next" w:hAnsi="Avenir Next"/>
          <w:sz w:val="24"/>
          <w:szCs w:val="24"/>
        </w:rPr>
        <w:t xml:space="preserve">y </w:t>
      </w:r>
      <w:r w:rsidR="00014080" w:rsidRPr="000151F3">
        <w:rPr>
          <w:rFonts w:ascii="Avenir Next" w:hAnsi="Avenir Next"/>
          <w:sz w:val="24"/>
          <w:szCs w:val="24"/>
        </w:rPr>
        <w:t xml:space="preserve">los </w:t>
      </w:r>
      <w:r w:rsidRPr="000151F3">
        <w:rPr>
          <w:rFonts w:ascii="Avenir Next" w:hAnsi="Avenir Next"/>
          <w:sz w:val="24"/>
          <w:szCs w:val="24"/>
        </w:rPr>
        <w:t>pigmentos</w:t>
      </w:r>
      <w:r w:rsidRPr="002667B2">
        <w:rPr>
          <w:rFonts w:ascii="Avenir Next" w:hAnsi="Avenir Next"/>
          <w:sz w:val="24"/>
          <w:szCs w:val="24"/>
        </w:rPr>
        <w:t xml:space="preserve"> utilizados. Por otro lado, el </w:t>
      </w:r>
      <w:r w:rsidRPr="00486079">
        <w:rPr>
          <w:rFonts w:ascii="Avenir Next" w:hAnsi="Avenir Next"/>
          <w:sz w:val="24"/>
          <w:szCs w:val="24"/>
        </w:rPr>
        <w:t>estado</w:t>
      </w:r>
      <w:r w:rsidRPr="002667B2">
        <w:rPr>
          <w:rFonts w:ascii="Avenir Next" w:hAnsi="Avenir Next"/>
          <w:sz w:val="24"/>
          <w:szCs w:val="24"/>
        </w:rPr>
        <w:t xml:space="preserve"> de conservación es el reflejo de</w:t>
      </w:r>
      <w:r w:rsidR="00486079">
        <w:rPr>
          <w:rFonts w:ascii="Avenir Next" w:hAnsi="Avenir Next"/>
          <w:sz w:val="24"/>
          <w:szCs w:val="24"/>
        </w:rPr>
        <w:t xml:space="preserve"> la condición</w:t>
      </w:r>
      <w:r w:rsidRPr="002667B2">
        <w:rPr>
          <w:rFonts w:ascii="Avenir Next" w:hAnsi="Avenir Next"/>
          <w:sz w:val="24"/>
          <w:szCs w:val="24"/>
        </w:rPr>
        <w:t xml:space="preserve"> </w:t>
      </w:r>
      <w:r w:rsidR="000151F3">
        <w:rPr>
          <w:rFonts w:ascii="Avenir Next" w:hAnsi="Avenir Next"/>
          <w:sz w:val="24"/>
          <w:szCs w:val="24"/>
        </w:rPr>
        <w:t xml:space="preserve">física </w:t>
      </w:r>
      <w:r w:rsidRPr="002667B2">
        <w:rPr>
          <w:rFonts w:ascii="Avenir Next" w:hAnsi="Avenir Next"/>
          <w:sz w:val="24"/>
          <w:szCs w:val="24"/>
        </w:rPr>
        <w:t xml:space="preserve">general de la obra en el momento que se hace el análisis </w:t>
      </w:r>
      <w:r w:rsidRPr="00344958">
        <w:rPr>
          <w:rFonts w:ascii="Avenir Next" w:hAnsi="Avenir Next"/>
          <w:sz w:val="24"/>
          <w:szCs w:val="24"/>
        </w:rPr>
        <w:t xml:space="preserve">de la </w:t>
      </w:r>
      <w:r w:rsidR="00344958">
        <w:rPr>
          <w:rFonts w:ascii="Avenir Next" w:hAnsi="Avenir Next"/>
          <w:sz w:val="24"/>
          <w:szCs w:val="24"/>
        </w:rPr>
        <w:t>pintura</w:t>
      </w:r>
      <w:r w:rsidRPr="002667B2">
        <w:rPr>
          <w:rFonts w:ascii="Avenir Next" w:hAnsi="Avenir Next"/>
          <w:sz w:val="24"/>
          <w:szCs w:val="24"/>
        </w:rPr>
        <w:t xml:space="preserve">. Se establece </w:t>
      </w:r>
      <w:r w:rsidR="00344958" w:rsidRPr="00344958">
        <w:rPr>
          <w:rFonts w:ascii="Avenir Next" w:hAnsi="Avenir Next"/>
          <w:sz w:val="24"/>
          <w:szCs w:val="24"/>
        </w:rPr>
        <w:t>dicha</w:t>
      </w:r>
      <w:r w:rsidRPr="00344958">
        <w:rPr>
          <w:rFonts w:ascii="Avenir Next" w:hAnsi="Avenir Next"/>
          <w:sz w:val="24"/>
          <w:szCs w:val="24"/>
        </w:rPr>
        <w:t xml:space="preserve"> diferencia</w:t>
      </w:r>
      <w:r w:rsidRPr="002667B2">
        <w:rPr>
          <w:rFonts w:ascii="Avenir Next" w:hAnsi="Avenir Next"/>
          <w:sz w:val="24"/>
          <w:szCs w:val="24"/>
        </w:rPr>
        <w:t xml:space="preserve"> ya que los indicadores de caracterización contienen información descriptiva sobre los materiales</w:t>
      </w:r>
      <w:r w:rsidR="00664772" w:rsidRPr="002667B2">
        <w:rPr>
          <w:rFonts w:ascii="Avenir Next" w:hAnsi="Avenir Next"/>
          <w:sz w:val="24"/>
          <w:szCs w:val="24"/>
        </w:rPr>
        <w:t xml:space="preserve"> </w:t>
      </w:r>
      <w:r w:rsidRPr="000151F3">
        <w:rPr>
          <w:rFonts w:ascii="Avenir Next" w:hAnsi="Avenir Next"/>
          <w:sz w:val="24"/>
          <w:szCs w:val="24"/>
        </w:rPr>
        <w:t>utilizados</w:t>
      </w:r>
      <w:r w:rsidR="00014080" w:rsidRPr="000151F3">
        <w:rPr>
          <w:rFonts w:ascii="Avenir Next" w:hAnsi="Avenir Next"/>
          <w:sz w:val="24"/>
          <w:szCs w:val="24"/>
        </w:rPr>
        <w:t>,</w:t>
      </w:r>
      <w:r w:rsidRPr="002667B2">
        <w:rPr>
          <w:rFonts w:ascii="Avenir Next" w:hAnsi="Avenir Next"/>
          <w:sz w:val="24"/>
          <w:szCs w:val="24"/>
        </w:rPr>
        <w:t xml:space="preserve"> pero estos no determinan</w:t>
      </w:r>
      <w:r w:rsidR="000151F3">
        <w:rPr>
          <w:rFonts w:ascii="Avenir Next" w:hAnsi="Avenir Next"/>
          <w:sz w:val="24"/>
          <w:szCs w:val="24"/>
        </w:rPr>
        <w:t xml:space="preserve"> completamente </w:t>
      </w:r>
      <w:r w:rsidR="00486079">
        <w:rPr>
          <w:rFonts w:ascii="Avenir Next" w:hAnsi="Avenir Next"/>
          <w:sz w:val="24"/>
          <w:szCs w:val="24"/>
        </w:rPr>
        <w:t>la situación</w:t>
      </w:r>
      <w:r w:rsidRPr="002667B2">
        <w:rPr>
          <w:rFonts w:ascii="Avenir Next" w:hAnsi="Avenir Next"/>
          <w:sz w:val="24"/>
          <w:szCs w:val="24"/>
        </w:rPr>
        <w:t xml:space="preserve"> de conservación de una obra. En </w:t>
      </w:r>
      <w:r w:rsidR="002278E7" w:rsidRPr="002667B2">
        <w:rPr>
          <w:rFonts w:ascii="Avenir Next" w:hAnsi="Avenir Next"/>
          <w:sz w:val="24"/>
          <w:szCs w:val="24"/>
        </w:rPr>
        <w:t>cambio,</w:t>
      </w:r>
      <w:r w:rsidRPr="002667B2">
        <w:rPr>
          <w:rFonts w:ascii="Avenir Next" w:hAnsi="Avenir Next"/>
          <w:sz w:val="24"/>
          <w:szCs w:val="24"/>
        </w:rPr>
        <w:t xml:space="preserve"> para realizar un </w:t>
      </w:r>
      <w:r w:rsidRPr="00486079">
        <w:rPr>
          <w:rFonts w:ascii="Avenir Next" w:hAnsi="Avenir Next"/>
          <w:sz w:val="24"/>
          <w:szCs w:val="24"/>
        </w:rPr>
        <w:t>estado</w:t>
      </w:r>
      <w:r w:rsidRPr="002667B2">
        <w:rPr>
          <w:rFonts w:ascii="Avenir Next" w:hAnsi="Avenir Next"/>
          <w:sz w:val="24"/>
          <w:szCs w:val="24"/>
        </w:rPr>
        <w:t xml:space="preserve"> de conservación minucioso es vital conocer </w:t>
      </w:r>
      <w:r w:rsidR="000151F3">
        <w:rPr>
          <w:rFonts w:ascii="Avenir Next" w:hAnsi="Avenir Next"/>
          <w:sz w:val="24"/>
          <w:szCs w:val="24"/>
        </w:rPr>
        <w:t xml:space="preserve">toda la información de los indicadores de caracterización </w:t>
      </w:r>
      <w:r w:rsidRPr="002667B2">
        <w:rPr>
          <w:rFonts w:ascii="Avenir Next" w:hAnsi="Avenir Next"/>
          <w:sz w:val="24"/>
          <w:szCs w:val="24"/>
        </w:rPr>
        <w:t xml:space="preserve">para entender </w:t>
      </w:r>
      <w:r w:rsidR="00014080" w:rsidRPr="000151F3">
        <w:rPr>
          <w:rFonts w:ascii="Avenir Next" w:hAnsi="Avenir Next"/>
          <w:sz w:val="24"/>
          <w:szCs w:val="24"/>
        </w:rPr>
        <w:t>las</w:t>
      </w:r>
      <w:r w:rsidR="00014080">
        <w:rPr>
          <w:rFonts w:ascii="Avenir Next" w:hAnsi="Avenir Next"/>
          <w:sz w:val="24"/>
          <w:szCs w:val="24"/>
        </w:rPr>
        <w:t xml:space="preserve"> </w:t>
      </w:r>
      <w:r w:rsidRPr="002667B2">
        <w:rPr>
          <w:rFonts w:ascii="Avenir Next" w:hAnsi="Avenir Next"/>
          <w:sz w:val="24"/>
          <w:szCs w:val="24"/>
        </w:rPr>
        <w:t>posibles reacciones de los materiales a través del tiempo.</w:t>
      </w:r>
    </w:p>
    <w:p w14:paraId="1441BFD5" w14:textId="0E5356C8" w:rsidR="00486079" w:rsidRDefault="00AA5394" w:rsidP="00486079">
      <w:pPr>
        <w:spacing w:before="240" w:after="240" w:line="240" w:lineRule="auto"/>
        <w:jc w:val="both"/>
        <w:rPr>
          <w:rFonts w:ascii="Avenir Next" w:hAnsi="Avenir Next"/>
          <w:sz w:val="24"/>
          <w:szCs w:val="24"/>
        </w:rPr>
      </w:pPr>
      <w:r w:rsidRPr="002667B2">
        <w:rPr>
          <w:rFonts w:ascii="Avenir Next" w:hAnsi="Avenir Next"/>
          <w:sz w:val="24"/>
          <w:szCs w:val="24"/>
        </w:rPr>
        <w:t>Para entender mejor qué es y qu</w:t>
      </w:r>
      <w:r w:rsidR="00486079">
        <w:rPr>
          <w:rFonts w:ascii="Avenir Next" w:hAnsi="Avenir Next"/>
          <w:sz w:val="24"/>
          <w:szCs w:val="24"/>
        </w:rPr>
        <w:t>é</w:t>
      </w:r>
      <w:r w:rsidRPr="002667B2">
        <w:rPr>
          <w:rFonts w:ascii="Avenir Next" w:hAnsi="Avenir Next"/>
          <w:sz w:val="24"/>
          <w:szCs w:val="24"/>
        </w:rPr>
        <w:t xml:space="preserve"> se considera como un deterioro, </w:t>
      </w:r>
      <w:r w:rsidR="00F43369">
        <w:rPr>
          <w:rFonts w:ascii="Avenir Next" w:hAnsi="Avenir Next"/>
          <w:sz w:val="24"/>
          <w:szCs w:val="24"/>
        </w:rPr>
        <w:t>e</w:t>
      </w:r>
      <w:r w:rsidRPr="002667B2">
        <w:rPr>
          <w:rFonts w:ascii="Avenir Next" w:hAnsi="Avenir Next"/>
          <w:sz w:val="24"/>
          <w:szCs w:val="24"/>
        </w:rPr>
        <w:t xml:space="preserve">l Instituto Canadiense de Conservación (CCI, 2017) generó la clasificación de </w:t>
      </w:r>
      <w:r w:rsidR="00743458">
        <w:rPr>
          <w:rFonts w:ascii="Avenir Next" w:hAnsi="Avenir Next"/>
          <w:sz w:val="24"/>
          <w:szCs w:val="24"/>
        </w:rPr>
        <w:t>diez</w:t>
      </w:r>
      <w:r w:rsidRPr="002667B2">
        <w:rPr>
          <w:rFonts w:ascii="Avenir Next" w:hAnsi="Avenir Next"/>
          <w:sz w:val="24"/>
          <w:szCs w:val="24"/>
        </w:rPr>
        <w:t xml:space="preserve"> diferentes agentes de deterioro (ver </w:t>
      </w:r>
      <w:r w:rsidR="00743458">
        <w:rPr>
          <w:rFonts w:ascii="Avenir Next" w:hAnsi="Avenir Next"/>
          <w:sz w:val="24"/>
          <w:szCs w:val="24"/>
        </w:rPr>
        <w:t>T</w:t>
      </w:r>
      <w:r w:rsidRPr="002667B2">
        <w:rPr>
          <w:rFonts w:ascii="Avenir Next" w:hAnsi="Avenir Next"/>
          <w:sz w:val="24"/>
          <w:szCs w:val="24"/>
        </w:rPr>
        <w:t>abla 1) que pueden afectar a una obra de arte u objeto de manera directa o indirecta</w:t>
      </w:r>
      <w:r w:rsidR="00486079">
        <w:rPr>
          <w:rFonts w:ascii="Avenir Next" w:hAnsi="Avenir Next"/>
          <w:sz w:val="24"/>
          <w:szCs w:val="24"/>
        </w:rPr>
        <w:t>.</w:t>
      </w:r>
    </w:p>
    <w:p w14:paraId="4259C5BE" w14:textId="77777777" w:rsidR="00743458" w:rsidRDefault="00743458" w:rsidP="00486079">
      <w:pPr>
        <w:spacing w:before="240" w:after="240" w:line="240" w:lineRule="auto"/>
        <w:jc w:val="both"/>
        <w:rPr>
          <w:rFonts w:ascii="Avenir Next" w:hAnsi="Avenir Next"/>
          <w:sz w:val="24"/>
          <w:szCs w:val="24"/>
        </w:rPr>
      </w:pPr>
    </w:p>
    <w:p w14:paraId="76631A48" w14:textId="77777777" w:rsidR="00743458" w:rsidRDefault="00743458" w:rsidP="00486079">
      <w:pPr>
        <w:spacing w:before="240" w:after="240" w:line="240" w:lineRule="auto"/>
        <w:jc w:val="both"/>
        <w:rPr>
          <w:rFonts w:ascii="Avenir Next" w:hAnsi="Avenir Next"/>
          <w:sz w:val="24"/>
          <w:szCs w:val="24"/>
        </w:rPr>
      </w:pPr>
    </w:p>
    <w:p w14:paraId="7BA30ADC" w14:textId="77777777" w:rsidR="00743458" w:rsidRDefault="00743458" w:rsidP="00486079">
      <w:pPr>
        <w:spacing w:before="240" w:after="240" w:line="240" w:lineRule="auto"/>
        <w:jc w:val="both"/>
        <w:rPr>
          <w:rFonts w:ascii="Avenir Next" w:hAnsi="Avenir Next"/>
          <w:sz w:val="24"/>
          <w:szCs w:val="24"/>
        </w:rPr>
      </w:pPr>
    </w:p>
    <w:p w14:paraId="33EE3B7A" w14:textId="77777777" w:rsidR="00743458" w:rsidRDefault="00743458" w:rsidP="00486079">
      <w:pPr>
        <w:spacing w:before="240" w:after="240" w:line="240" w:lineRule="auto"/>
        <w:jc w:val="both"/>
        <w:rPr>
          <w:rFonts w:ascii="Avenir Next" w:hAnsi="Avenir Next"/>
          <w:sz w:val="24"/>
          <w:szCs w:val="24"/>
        </w:rPr>
      </w:pPr>
    </w:p>
    <w:p w14:paraId="3D40EF26" w14:textId="77777777" w:rsidR="00743458" w:rsidRDefault="00743458" w:rsidP="00486079">
      <w:pPr>
        <w:spacing w:before="240" w:after="240" w:line="240" w:lineRule="auto"/>
        <w:jc w:val="both"/>
        <w:rPr>
          <w:rFonts w:ascii="Avenir Next" w:hAnsi="Avenir Next"/>
          <w:sz w:val="24"/>
          <w:szCs w:val="24"/>
        </w:rPr>
      </w:pPr>
    </w:p>
    <w:p w14:paraId="0C098512" w14:textId="77777777" w:rsidR="00743458" w:rsidRDefault="00743458" w:rsidP="00486079">
      <w:pPr>
        <w:spacing w:before="240" w:after="240" w:line="240" w:lineRule="auto"/>
        <w:jc w:val="both"/>
        <w:rPr>
          <w:rFonts w:ascii="Avenir Next" w:hAnsi="Avenir Next"/>
          <w:sz w:val="24"/>
          <w:szCs w:val="24"/>
        </w:rPr>
      </w:pPr>
    </w:p>
    <w:p w14:paraId="71BB405C" w14:textId="77777777" w:rsidR="00743458" w:rsidRDefault="00743458" w:rsidP="00486079">
      <w:pPr>
        <w:spacing w:before="240" w:after="240" w:line="240" w:lineRule="auto"/>
        <w:jc w:val="both"/>
        <w:rPr>
          <w:rFonts w:ascii="Avenir Next" w:hAnsi="Avenir Next"/>
          <w:sz w:val="24"/>
          <w:szCs w:val="24"/>
        </w:rPr>
      </w:pPr>
    </w:p>
    <w:p w14:paraId="28B5A123" w14:textId="77777777" w:rsidR="00743458" w:rsidRDefault="00743458" w:rsidP="00486079">
      <w:pPr>
        <w:spacing w:before="240" w:after="240" w:line="240" w:lineRule="auto"/>
        <w:jc w:val="both"/>
        <w:rPr>
          <w:rFonts w:ascii="Avenir Next" w:hAnsi="Avenir Next"/>
          <w:sz w:val="24"/>
          <w:szCs w:val="24"/>
        </w:rPr>
      </w:pPr>
    </w:p>
    <w:p w14:paraId="685EC432" w14:textId="77777777" w:rsidR="00862C88" w:rsidRPr="00486079" w:rsidRDefault="00862C88" w:rsidP="00486079">
      <w:pPr>
        <w:spacing w:before="240" w:after="240" w:line="240" w:lineRule="auto"/>
        <w:jc w:val="both"/>
        <w:rPr>
          <w:rFonts w:ascii="Avenir Next" w:hAnsi="Avenir Next"/>
          <w:sz w:val="24"/>
          <w:szCs w:val="24"/>
        </w:rPr>
      </w:pPr>
    </w:p>
    <w:p w14:paraId="3969047A" w14:textId="77777777" w:rsidR="00664772" w:rsidRPr="002667B2" w:rsidRDefault="00AA5394" w:rsidP="00D92F0A">
      <w:pPr>
        <w:spacing w:before="240" w:after="240" w:line="240" w:lineRule="auto"/>
        <w:rPr>
          <w:rFonts w:ascii="Avenir Next" w:hAnsi="Avenir Next"/>
        </w:rPr>
      </w:pPr>
      <w:r w:rsidRPr="002667B2">
        <w:rPr>
          <w:rFonts w:ascii="Avenir Next" w:hAnsi="Avenir Next"/>
          <w:b/>
        </w:rPr>
        <w:lastRenderedPageBreak/>
        <w:t>Tabla 1.</w:t>
      </w:r>
      <w:r w:rsidRPr="002667B2">
        <w:rPr>
          <w:rFonts w:ascii="Avenir Next" w:hAnsi="Avenir Next"/>
        </w:rPr>
        <w:t xml:space="preserve"> </w:t>
      </w:r>
      <w:r w:rsidRPr="00454FAC">
        <w:rPr>
          <w:rFonts w:ascii="Avenir Next" w:hAnsi="Avenir Next"/>
          <w:i/>
        </w:rPr>
        <w:t>Clasificación de agentes de deterioro de acuerdo con el CCI.</w:t>
      </w:r>
    </w:p>
    <w:tbl>
      <w:tblPr>
        <w:tblStyle w:val="a"/>
        <w:tblW w:w="93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2190"/>
        <w:gridCol w:w="2400"/>
        <w:gridCol w:w="2775"/>
      </w:tblGrid>
      <w:tr w:rsidR="00144113" w:rsidRPr="002667B2" w14:paraId="64C4A679" w14:textId="77777777" w:rsidTr="00664772">
        <w:trPr>
          <w:trHeight w:val="164"/>
        </w:trPr>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D9BB5" w14:textId="77777777" w:rsidR="00144113" w:rsidRPr="002667B2" w:rsidRDefault="00AA5394">
            <w:pPr>
              <w:keepNext/>
              <w:keepLines/>
              <w:widowControl w:val="0"/>
              <w:spacing w:line="240" w:lineRule="auto"/>
              <w:jc w:val="center"/>
              <w:rPr>
                <w:rFonts w:ascii="Avenir Next" w:hAnsi="Avenir Next"/>
                <w:b/>
              </w:rPr>
            </w:pPr>
            <w:r w:rsidRPr="002667B2">
              <w:rPr>
                <w:rFonts w:ascii="Avenir Next" w:hAnsi="Avenir Next"/>
                <w:b/>
              </w:rPr>
              <w:t>Factor</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AB2AFF" w14:textId="77777777" w:rsidR="00144113" w:rsidRPr="002667B2" w:rsidRDefault="00AA5394">
            <w:pPr>
              <w:keepNext/>
              <w:keepLines/>
              <w:widowControl w:val="0"/>
              <w:spacing w:line="240" w:lineRule="auto"/>
              <w:jc w:val="center"/>
              <w:rPr>
                <w:rFonts w:ascii="Avenir Next" w:hAnsi="Avenir Next"/>
                <w:b/>
              </w:rPr>
            </w:pPr>
            <w:r w:rsidRPr="002667B2">
              <w:rPr>
                <w:rFonts w:ascii="Avenir Next" w:hAnsi="Avenir Next"/>
                <w:b/>
              </w:rPr>
              <w:t>Tipo</w:t>
            </w:r>
          </w:p>
        </w:tc>
        <w:tc>
          <w:tcPr>
            <w:tcW w:w="24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9D53FA" w14:textId="77777777" w:rsidR="00144113" w:rsidRPr="002667B2" w:rsidRDefault="00AA5394">
            <w:pPr>
              <w:keepNext/>
              <w:keepLines/>
              <w:widowControl w:val="0"/>
              <w:spacing w:line="240" w:lineRule="auto"/>
              <w:jc w:val="center"/>
              <w:rPr>
                <w:rFonts w:ascii="Avenir Next" w:hAnsi="Avenir Next"/>
                <w:b/>
              </w:rPr>
            </w:pPr>
            <w:r w:rsidRPr="002667B2">
              <w:rPr>
                <w:rFonts w:ascii="Avenir Next" w:hAnsi="Avenir Next"/>
                <w:b/>
              </w:rPr>
              <w:t>Producidos por</w:t>
            </w:r>
          </w:p>
        </w:tc>
        <w:tc>
          <w:tcPr>
            <w:tcW w:w="27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AB6168" w14:textId="77777777" w:rsidR="00144113" w:rsidRPr="002667B2" w:rsidRDefault="00AA5394">
            <w:pPr>
              <w:keepNext/>
              <w:keepLines/>
              <w:widowControl w:val="0"/>
              <w:spacing w:line="240" w:lineRule="auto"/>
              <w:jc w:val="center"/>
              <w:rPr>
                <w:rFonts w:ascii="Avenir Next" w:hAnsi="Avenir Next"/>
                <w:b/>
              </w:rPr>
            </w:pPr>
            <w:r w:rsidRPr="002667B2">
              <w:rPr>
                <w:rFonts w:ascii="Avenir Next" w:hAnsi="Avenir Next"/>
                <w:b/>
              </w:rPr>
              <w:t>Indicadores de deterioros</w:t>
            </w:r>
          </w:p>
        </w:tc>
      </w:tr>
      <w:tr w:rsidR="00144113" w:rsidRPr="002667B2" w14:paraId="188519E1" w14:textId="77777777" w:rsidTr="00664772">
        <w:trPr>
          <w:trHeight w:val="852"/>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336C09"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Fuerzas físicas</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3AC48DAE"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Mecánico, extrínseco y macroscópico.</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tcPr>
          <w:p w14:paraId="217C2215"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Impactos, vibraciones, choques, presión y abrasión</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14:paraId="32343940"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Rayones, fisuras, pérdida de soporte, pérdida de capa pictórica, roturas, entre otros.</w:t>
            </w:r>
          </w:p>
        </w:tc>
      </w:tr>
      <w:tr w:rsidR="00144113" w:rsidRPr="002667B2" w14:paraId="7A1E828B" w14:textId="77777777" w:rsidTr="00664772">
        <w:trPr>
          <w:trHeight w:val="627"/>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3E871C"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Luz e irradiación</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0AD203C2"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Químico, extrínseco, macroscópico y microscópico.</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tcPr>
          <w:p w14:paraId="35E6E100"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Luz y radiación ultravioleta e infrarroja</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14:paraId="75528753"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Decoloración, manchas, oxidación, craqueladuras y ondulaciones.</w:t>
            </w:r>
          </w:p>
        </w:tc>
      </w:tr>
      <w:tr w:rsidR="00144113" w:rsidRPr="002667B2" w14:paraId="5F91A4BB" w14:textId="77777777" w:rsidTr="00664772">
        <w:trPr>
          <w:trHeight w:val="514"/>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831763"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Temperatura</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3252BC5"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Extrínseco y macroscópico.</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tcPr>
          <w:p w14:paraId="240D19AE"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Cambios en la temperatura del ambiente.</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14:paraId="259EFE61"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Resquebrajamiento, resequedad, soporte debilitado y deformaciones.</w:t>
            </w:r>
          </w:p>
        </w:tc>
      </w:tr>
      <w:tr w:rsidR="00144113" w:rsidRPr="002667B2" w14:paraId="56164DB5" w14:textId="77777777" w:rsidTr="00664772">
        <w:trPr>
          <w:trHeight w:val="697"/>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697D70"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Humedad relativa</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76FE13EA"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Extrínseco, macroscópico y microscópico.</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tcPr>
          <w:p w14:paraId="0C4EFD4F"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Aire acondicionado y ambiente.</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14:paraId="4D587892"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 xml:space="preserve">Humedad, eflorescencia, deformaciones, oxidación, </w:t>
            </w:r>
            <w:r w:rsidRPr="008D7151">
              <w:rPr>
                <w:rFonts w:ascii="Avenir Next" w:hAnsi="Avenir Next"/>
                <w:i/>
                <w:iCs/>
              </w:rPr>
              <w:t>foxing</w:t>
            </w:r>
            <w:r w:rsidRPr="002667B2">
              <w:rPr>
                <w:rFonts w:ascii="Avenir Next" w:hAnsi="Avenir Next"/>
              </w:rPr>
              <w:t xml:space="preserve"> y ondulaciones.</w:t>
            </w:r>
          </w:p>
        </w:tc>
      </w:tr>
      <w:tr w:rsidR="00144113" w:rsidRPr="002667B2" w14:paraId="6741E2E9" w14:textId="77777777" w:rsidTr="00664772">
        <w:trPr>
          <w:trHeight w:val="725"/>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AFFC56"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Contaminantes</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A703213"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Extrínseco, microscópico y macroscópico.</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tcPr>
          <w:p w14:paraId="6D3E0400"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Sistemas de calefacción, A/C, artefactos digitales, entre otros.</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14:paraId="7F2C72ED"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 xml:space="preserve">Polvo, suciedad, acidificación, oxidación y </w:t>
            </w:r>
            <w:r w:rsidRPr="008D7151">
              <w:rPr>
                <w:rFonts w:ascii="Avenir Next" w:hAnsi="Avenir Next"/>
                <w:i/>
                <w:iCs/>
              </w:rPr>
              <w:t>foxing.</w:t>
            </w:r>
            <w:r w:rsidRPr="002667B2">
              <w:rPr>
                <w:rFonts w:ascii="Avenir Next" w:hAnsi="Avenir Next"/>
              </w:rPr>
              <w:t xml:space="preserve"> </w:t>
            </w:r>
          </w:p>
        </w:tc>
      </w:tr>
      <w:tr w:rsidR="00144113" w:rsidRPr="002667B2" w14:paraId="6FA53BE1" w14:textId="77777777" w:rsidTr="00664772">
        <w:trPr>
          <w:trHeight w:val="895"/>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AAE560"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Fuego</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82E80D2"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Mecánico, extrínseco y macroscópico.</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tcPr>
          <w:p w14:paraId="5B10D62C"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Instalaciones eléctricas defectuosas, fuentes de ignición, entre otros.</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14:paraId="2FF546AE"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Suciedad, resequedad, presencia de humo y hollín, pérdida parcial o total del bien.</w:t>
            </w:r>
          </w:p>
        </w:tc>
      </w:tr>
      <w:tr w:rsidR="00144113" w:rsidRPr="002667B2" w14:paraId="3890B371" w14:textId="77777777" w:rsidTr="00664772">
        <w:trPr>
          <w:trHeight w:val="827"/>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F70932"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Agua</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102890B8"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Mecánico, extrínseco, macroscópico y microscópico.</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tcPr>
          <w:p w14:paraId="7F44963E"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Daños en las instalaciones, accidentes o negligencia.</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14:paraId="0544B998"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Humedad, manchas, pringues, suciedad, churretes, eflorescencias y microorganismos.</w:t>
            </w:r>
          </w:p>
        </w:tc>
      </w:tr>
      <w:tr w:rsidR="00144113" w:rsidRPr="002667B2" w14:paraId="3D4A661E" w14:textId="77777777" w:rsidTr="00664772">
        <w:trPr>
          <w:trHeight w:val="1170"/>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40CADF" w14:textId="77777777" w:rsidR="00144113" w:rsidRPr="002667B2" w:rsidRDefault="000D5C91">
            <w:pPr>
              <w:keepNext/>
              <w:keepLines/>
              <w:widowControl w:val="0"/>
              <w:spacing w:line="240" w:lineRule="auto"/>
              <w:jc w:val="center"/>
              <w:rPr>
                <w:rFonts w:ascii="Avenir Next" w:hAnsi="Avenir Next"/>
              </w:rPr>
            </w:pPr>
            <w:r>
              <w:rPr>
                <w:rFonts w:ascii="Avenir Next" w:hAnsi="Avenir Next"/>
              </w:rPr>
              <w:t>Bio</w:t>
            </w:r>
            <w:r w:rsidR="00AA5394" w:rsidRPr="002667B2">
              <w:rPr>
                <w:rFonts w:ascii="Avenir Next" w:hAnsi="Avenir Next"/>
              </w:rPr>
              <w:t>deterioros</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2AB3982B"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Mecánico, extrínseco, macroscópico y microscópico.</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tcPr>
          <w:p w14:paraId="46E16437" w14:textId="77777777" w:rsidR="00144113" w:rsidRPr="002667B2" w:rsidRDefault="00AA5394" w:rsidP="000D5C91">
            <w:pPr>
              <w:keepNext/>
              <w:keepLines/>
              <w:widowControl w:val="0"/>
              <w:spacing w:line="240" w:lineRule="auto"/>
              <w:jc w:val="center"/>
              <w:rPr>
                <w:rFonts w:ascii="Avenir Next" w:hAnsi="Avenir Next"/>
              </w:rPr>
            </w:pPr>
            <w:r w:rsidRPr="002667B2">
              <w:rPr>
                <w:rFonts w:ascii="Avenir Next" w:hAnsi="Avenir Next"/>
              </w:rPr>
              <w:t>Microorganismos (</w:t>
            </w:r>
            <w:r w:rsidR="000D5C91">
              <w:rPr>
                <w:rFonts w:ascii="Avenir Next" w:hAnsi="Avenir Next"/>
              </w:rPr>
              <w:t>b</w:t>
            </w:r>
            <w:r w:rsidRPr="002667B2">
              <w:rPr>
                <w:rFonts w:ascii="Avenir Next" w:hAnsi="Avenir Next"/>
              </w:rPr>
              <w:t>acterias, actinomicetos, hongos, algas y líquenes), insectos, mamíferos.</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14:paraId="4FCE6D78"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Esporas, manchas, deyecciones, perforaciones, faltantes, entre otras.</w:t>
            </w:r>
          </w:p>
        </w:tc>
      </w:tr>
      <w:tr w:rsidR="00144113" w:rsidRPr="002667B2" w14:paraId="1E78B327" w14:textId="77777777" w:rsidTr="00664772">
        <w:trPr>
          <w:trHeight w:val="236"/>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3C5859"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Disociación</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28164B2A"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Extrínseco</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tcPr>
          <w:p w14:paraId="7A4E5542"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Mal registro</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14:paraId="2A29BE5D"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Pérdida de información</w:t>
            </w:r>
          </w:p>
        </w:tc>
      </w:tr>
      <w:tr w:rsidR="00144113" w:rsidRPr="002667B2" w14:paraId="12A25BAF" w14:textId="77777777" w:rsidTr="00664772">
        <w:trPr>
          <w:trHeight w:val="781"/>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7DAFF2"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Robo y vandalismo</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4BD3830C"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Mecánico, extrínseco y macroscópico</w:t>
            </w:r>
          </w:p>
        </w:tc>
        <w:tc>
          <w:tcPr>
            <w:tcW w:w="2400" w:type="dxa"/>
            <w:tcBorders>
              <w:top w:val="nil"/>
              <w:left w:val="nil"/>
              <w:bottom w:val="single" w:sz="8" w:space="0" w:color="000000"/>
              <w:right w:val="single" w:sz="8" w:space="0" w:color="000000"/>
            </w:tcBorders>
            <w:tcMar>
              <w:top w:w="100" w:type="dxa"/>
              <w:left w:w="100" w:type="dxa"/>
              <w:bottom w:w="100" w:type="dxa"/>
              <w:right w:w="100" w:type="dxa"/>
            </w:tcMar>
          </w:tcPr>
          <w:p w14:paraId="0C573CAD"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Factores antrópicos</w:t>
            </w:r>
          </w:p>
        </w:tc>
        <w:tc>
          <w:tcPr>
            <w:tcW w:w="2775" w:type="dxa"/>
            <w:tcBorders>
              <w:top w:val="nil"/>
              <w:left w:val="nil"/>
              <w:bottom w:val="single" w:sz="8" w:space="0" w:color="000000"/>
              <w:right w:val="single" w:sz="8" w:space="0" w:color="000000"/>
            </w:tcBorders>
            <w:tcMar>
              <w:top w:w="100" w:type="dxa"/>
              <w:left w:w="100" w:type="dxa"/>
              <w:bottom w:w="100" w:type="dxa"/>
              <w:right w:w="100" w:type="dxa"/>
            </w:tcMar>
          </w:tcPr>
          <w:p w14:paraId="09BF801C" w14:textId="77777777" w:rsidR="00144113" w:rsidRPr="002667B2" w:rsidRDefault="00AA5394">
            <w:pPr>
              <w:keepNext/>
              <w:keepLines/>
              <w:widowControl w:val="0"/>
              <w:spacing w:line="240" w:lineRule="auto"/>
              <w:jc w:val="center"/>
              <w:rPr>
                <w:rFonts w:ascii="Avenir Next" w:hAnsi="Avenir Next"/>
              </w:rPr>
            </w:pPr>
            <w:r w:rsidRPr="002667B2">
              <w:rPr>
                <w:rFonts w:ascii="Avenir Next" w:hAnsi="Avenir Next"/>
              </w:rPr>
              <w:t>Pérdida del bien en caso de robo y destrucción o desfiguración en caso de vandalismo.</w:t>
            </w:r>
          </w:p>
        </w:tc>
      </w:tr>
    </w:tbl>
    <w:p w14:paraId="79A4142C" w14:textId="46CA3B67" w:rsidR="00664772" w:rsidRPr="00D92F0A" w:rsidRDefault="00664772">
      <w:pPr>
        <w:spacing w:before="240" w:after="240" w:line="240" w:lineRule="auto"/>
        <w:jc w:val="both"/>
        <w:rPr>
          <w:rFonts w:ascii="Avenir Next" w:hAnsi="Avenir Next"/>
          <w:szCs w:val="20"/>
        </w:rPr>
      </w:pPr>
      <w:r w:rsidRPr="00D92F0A">
        <w:rPr>
          <w:rFonts w:ascii="Avenir Next" w:hAnsi="Avenir Next"/>
          <w:bCs/>
          <w:i/>
          <w:szCs w:val="20"/>
        </w:rPr>
        <w:t>Fuente:</w:t>
      </w:r>
      <w:r w:rsidR="00354FF4" w:rsidRPr="00D92F0A">
        <w:rPr>
          <w:rFonts w:ascii="Avenir Next" w:hAnsi="Avenir Next"/>
          <w:b/>
          <w:bCs/>
          <w:szCs w:val="20"/>
        </w:rPr>
        <w:t xml:space="preserve"> </w:t>
      </w:r>
      <w:r w:rsidR="00354FF4" w:rsidRPr="00D92F0A">
        <w:rPr>
          <w:rFonts w:ascii="Avenir Next" w:hAnsi="Avenir Next"/>
          <w:szCs w:val="20"/>
        </w:rPr>
        <w:t xml:space="preserve">Elaboración propia </w:t>
      </w:r>
      <w:r w:rsidR="00743458" w:rsidRPr="00D92F0A">
        <w:rPr>
          <w:rFonts w:ascii="Avenir Next" w:hAnsi="Avenir Next"/>
          <w:szCs w:val="20"/>
        </w:rPr>
        <w:t xml:space="preserve">hecha </w:t>
      </w:r>
      <w:r w:rsidR="00354FF4" w:rsidRPr="00D92F0A">
        <w:rPr>
          <w:rFonts w:ascii="Avenir Next" w:hAnsi="Avenir Next"/>
          <w:szCs w:val="20"/>
        </w:rPr>
        <w:t>por Mariela Agüero Barrantes y Marco Arce Cerdas</w:t>
      </w:r>
      <w:r w:rsidR="008A4B8B" w:rsidRPr="00D92F0A">
        <w:rPr>
          <w:rFonts w:ascii="Avenir Next" w:hAnsi="Avenir Next"/>
          <w:szCs w:val="20"/>
        </w:rPr>
        <w:t>,</w:t>
      </w:r>
      <w:r w:rsidR="00354FF4" w:rsidRPr="00D92F0A">
        <w:rPr>
          <w:rFonts w:ascii="Avenir Next" w:hAnsi="Avenir Next"/>
          <w:szCs w:val="20"/>
        </w:rPr>
        <w:t xml:space="preserve"> </w:t>
      </w:r>
      <w:r w:rsidR="00344958" w:rsidRPr="00D92F0A">
        <w:rPr>
          <w:rFonts w:ascii="Avenir Next" w:hAnsi="Avenir Next"/>
          <w:szCs w:val="20"/>
        </w:rPr>
        <w:t xml:space="preserve">con base en </w:t>
      </w:r>
      <w:r w:rsidR="00080987" w:rsidRPr="00D92F0A">
        <w:rPr>
          <w:rFonts w:ascii="Avenir Next" w:hAnsi="Avenir Next"/>
          <w:szCs w:val="20"/>
        </w:rPr>
        <w:t>el</w:t>
      </w:r>
      <w:r w:rsidR="00344958" w:rsidRPr="00D92F0A">
        <w:rPr>
          <w:rFonts w:ascii="Avenir Next" w:hAnsi="Avenir Next"/>
          <w:szCs w:val="20"/>
        </w:rPr>
        <w:t xml:space="preserve"> Instit</w:t>
      </w:r>
      <w:r w:rsidR="00D92F0A">
        <w:rPr>
          <w:rFonts w:ascii="Avenir Next" w:hAnsi="Avenir Next"/>
          <w:szCs w:val="20"/>
        </w:rPr>
        <w:t>uto Canadiense de Conservación, 2017</w:t>
      </w:r>
      <w:r w:rsidR="00344958" w:rsidRPr="00D92F0A">
        <w:rPr>
          <w:rFonts w:ascii="Avenir Next" w:hAnsi="Avenir Next"/>
          <w:szCs w:val="20"/>
        </w:rPr>
        <w:t>.</w:t>
      </w:r>
    </w:p>
    <w:p w14:paraId="26A6E6C1" w14:textId="77777777"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 xml:space="preserve">El estado de conservación general de una obra pictórica se puede definir como estable o inestable, a partir de indicadores de deterioro presentes en la capa pictórica, de preparación y en el soporte. </w:t>
      </w:r>
      <w:r w:rsidRPr="002667B2">
        <w:rPr>
          <w:rFonts w:ascii="Avenir Next" w:hAnsi="Avenir Next"/>
          <w:sz w:val="24"/>
          <w:szCs w:val="24"/>
        </w:rPr>
        <w:lastRenderedPageBreak/>
        <w:t xml:space="preserve">Además, se puede determinar la incidencia de algunos deterioros en materiales adjuntos como el marco, la marialuisa, el </w:t>
      </w:r>
      <w:r w:rsidRPr="00431469">
        <w:rPr>
          <w:rFonts w:ascii="Avenir Next" w:hAnsi="Avenir Next"/>
          <w:i/>
          <w:iCs/>
          <w:sz w:val="24"/>
          <w:szCs w:val="24"/>
        </w:rPr>
        <w:t>cartafoam</w:t>
      </w:r>
      <w:r w:rsidRPr="002667B2">
        <w:rPr>
          <w:rFonts w:ascii="Avenir Next" w:hAnsi="Avenir Next"/>
          <w:sz w:val="24"/>
          <w:szCs w:val="24"/>
        </w:rPr>
        <w:t xml:space="preserve"> y el vidrio, que sirven de apoyo en el equilibrio estético de la obra. Los indicadores de deterioro se pueden dividir en intrínsecos (proceden de la calidad de los materiales que componen las obras, los documentos o de su estructura física y química), y extrínsecos, que obedecen a prácticas deficientes de conservación preventiva (condiciones ambientales, almacenamiento y manipulación inadecuada, exposición a la luz, además de robo, vandalismo y siniestros naturales o accidentales).</w:t>
      </w:r>
    </w:p>
    <w:p w14:paraId="6BEF3CDF" w14:textId="059F2EA5"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El deterioro, a su vez, también se puede clasificar en macroscópico,</w:t>
      </w:r>
      <w:r w:rsidR="00006598">
        <w:rPr>
          <w:rFonts w:ascii="Avenir Next" w:hAnsi="Avenir Next"/>
          <w:sz w:val="24"/>
          <w:szCs w:val="24"/>
        </w:rPr>
        <w:t xml:space="preserve"> que </w:t>
      </w:r>
      <w:r w:rsidR="00006598" w:rsidRPr="000D5C91">
        <w:rPr>
          <w:rFonts w:ascii="Avenir Next" w:hAnsi="Avenir Next"/>
          <w:sz w:val="24"/>
          <w:szCs w:val="24"/>
        </w:rPr>
        <w:t xml:space="preserve">corresponde a </w:t>
      </w:r>
      <w:r w:rsidRPr="000D5C91">
        <w:rPr>
          <w:rFonts w:ascii="Avenir Next" w:hAnsi="Avenir Next"/>
          <w:sz w:val="24"/>
          <w:szCs w:val="24"/>
        </w:rPr>
        <w:t>alteraciones</w:t>
      </w:r>
      <w:r w:rsidRPr="00006598">
        <w:rPr>
          <w:rFonts w:ascii="Avenir Next" w:hAnsi="Avenir Next"/>
          <w:sz w:val="24"/>
          <w:szCs w:val="24"/>
        </w:rPr>
        <w:t xml:space="preserve"> físicas visibles</w:t>
      </w:r>
      <w:r w:rsidRPr="002667B2">
        <w:rPr>
          <w:rFonts w:ascii="Avenir Next" w:hAnsi="Avenir Next"/>
          <w:sz w:val="24"/>
          <w:szCs w:val="24"/>
        </w:rPr>
        <w:t xml:space="preserve"> sin el uso necesario de instrumentos de aumento, y microscópico, que pueden ser alteraciones físicas perceptibles mediante el uso de herramientas especializadas tales cómo cámaras fotográficas, </w:t>
      </w:r>
      <w:r w:rsidR="00D852A9">
        <w:rPr>
          <w:rFonts w:ascii="Avenir Next" w:hAnsi="Avenir Next"/>
          <w:sz w:val="24"/>
          <w:szCs w:val="24"/>
        </w:rPr>
        <w:t>Espectroscopía de Fluorescencia de Rayos X (</w:t>
      </w:r>
      <w:r w:rsidR="00006598">
        <w:rPr>
          <w:rFonts w:ascii="Avenir Next" w:hAnsi="Avenir Next"/>
          <w:sz w:val="24"/>
          <w:szCs w:val="24"/>
        </w:rPr>
        <w:t>XRF</w:t>
      </w:r>
      <w:r w:rsidR="005D7AD3">
        <w:rPr>
          <w:rFonts w:ascii="Avenir Next" w:hAnsi="Avenir Next"/>
          <w:sz w:val="24"/>
          <w:szCs w:val="24"/>
        </w:rPr>
        <w:t>, por sus siglas en inglés</w:t>
      </w:r>
      <w:r w:rsidR="00D852A9">
        <w:rPr>
          <w:rFonts w:ascii="Avenir Next" w:hAnsi="Avenir Next"/>
          <w:sz w:val="24"/>
          <w:szCs w:val="24"/>
        </w:rPr>
        <w:t>)</w:t>
      </w:r>
      <w:r w:rsidRPr="002667B2">
        <w:rPr>
          <w:rFonts w:ascii="Avenir Next" w:hAnsi="Avenir Next"/>
          <w:sz w:val="24"/>
          <w:szCs w:val="24"/>
        </w:rPr>
        <w:t xml:space="preserve">, microscopios, entre otros. A nivel microscópico los deterioros se pueden producir por acciones mecánicas causadas por la modificación del equilibrio de una estructura o acciones químicas, las cuales se pueden generar por una reacción entre sí de sustancias y compuestos naturales. En instituciones como los museos, generalmente se realizan los estados de conservación a nivel macroscópico, </w:t>
      </w:r>
      <w:r w:rsidR="00006598" w:rsidRPr="00006598">
        <w:rPr>
          <w:rFonts w:ascii="Avenir Next" w:hAnsi="Avenir Next"/>
          <w:sz w:val="24"/>
          <w:szCs w:val="24"/>
        </w:rPr>
        <w:t>donde</w:t>
      </w:r>
      <w:r w:rsidRPr="00006598">
        <w:rPr>
          <w:rFonts w:ascii="Avenir Next" w:hAnsi="Avenir Next"/>
          <w:sz w:val="24"/>
          <w:szCs w:val="24"/>
        </w:rPr>
        <w:t xml:space="preserve"> la parte visual y la experticia de la persona que lo realiza </w:t>
      </w:r>
      <w:r w:rsidR="00006598" w:rsidRPr="00006598">
        <w:rPr>
          <w:rFonts w:ascii="Avenir Next" w:hAnsi="Avenir Next"/>
          <w:sz w:val="24"/>
          <w:szCs w:val="24"/>
        </w:rPr>
        <w:t xml:space="preserve">corresponde a </w:t>
      </w:r>
      <w:r w:rsidRPr="00006598">
        <w:rPr>
          <w:rFonts w:ascii="Avenir Next" w:hAnsi="Avenir Next"/>
          <w:sz w:val="24"/>
          <w:szCs w:val="24"/>
        </w:rPr>
        <w:t>sus principales herramientas.</w:t>
      </w:r>
    </w:p>
    <w:p w14:paraId="53FF3125" w14:textId="58283964"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 xml:space="preserve">El conjunto de indicadores que presenta una obra determinará </w:t>
      </w:r>
      <w:r w:rsidR="00006598">
        <w:rPr>
          <w:rFonts w:ascii="Avenir Next" w:hAnsi="Avenir Next"/>
          <w:sz w:val="24"/>
          <w:szCs w:val="24"/>
        </w:rPr>
        <w:t>la condición</w:t>
      </w:r>
      <w:r w:rsidRPr="002667B2">
        <w:rPr>
          <w:rFonts w:ascii="Avenir Next" w:hAnsi="Avenir Next"/>
          <w:sz w:val="24"/>
          <w:szCs w:val="24"/>
        </w:rPr>
        <w:t xml:space="preserve"> general </w:t>
      </w:r>
      <w:r w:rsidRPr="000D5C91">
        <w:rPr>
          <w:rFonts w:ascii="Avenir Next" w:hAnsi="Avenir Next"/>
          <w:sz w:val="24"/>
          <w:szCs w:val="24"/>
        </w:rPr>
        <w:t>del objeto</w:t>
      </w:r>
      <w:r w:rsidR="00014080" w:rsidRPr="000D5C91">
        <w:rPr>
          <w:rFonts w:ascii="Avenir Next" w:hAnsi="Avenir Next"/>
          <w:sz w:val="24"/>
          <w:szCs w:val="24"/>
        </w:rPr>
        <w:t>; l</w:t>
      </w:r>
      <w:r w:rsidRPr="000D5C91">
        <w:rPr>
          <w:rFonts w:ascii="Avenir Next" w:hAnsi="Avenir Next"/>
          <w:sz w:val="24"/>
          <w:szCs w:val="24"/>
        </w:rPr>
        <w:t>a</w:t>
      </w:r>
      <w:r w:rsidRPr="002667B2">
        <w:rPr>
          <w:rFonts w:ascii="Avenir Next" w:hAnsi="Avenir Next"/>
          <w:sz w:val="24"/>
          <w:szCs w:val="24"/>
        </w:rPr>
        <w:t xml:space="preserve"> obra puede estar, según sus daños, estable o inestable</w:t>
      </w:r>
      <w:r w:rsidRPr="000D5C91">
        <w:rPr>
          <w:rFonts w:ascii="Avenir Next" w:hAnsi="Avenir Next"/>
          <w:sz w:val="24"/>
          <w:szCs w:val="24"/>
        </w:rPr>
        <w:t xml:space="preserve">. Dependiendo </w:t>
      </w:r>
      <w:r w:rsidR="00014080" w:rsidRPr="000D5C91">
        <w:rPr>
          <w:rFonts w:ascii="Avenir Next" w:hAnsi="Avenir Next"/>
          <w:sz w:val="24"/>
          <w:szCs w:val="24"/>
        </w:rPr>
        <w:t>del</w:t>
      </w:r>
      <w:r w:rsidRPr="000D5C91">
        <w:rPr>
          <w:rFonts w:ascii="Avenir Next" w:hAnsi="Avenir Next"/>
          <w:sz w:val="24"/>
          <w:szCs w:val="24"/>
        </w:rPr>
        <w:t xml:space="preserve"> diagnóstico</w:t>
      </w:r>
      <w:r w:rsidRPr="002667B2">
        <w:rPr>
          <w:rFonts w:ascii="Avenir Next" w:hAnsi="Avenir Next"/>
          <w:sz w:val="24"/>
          <w:szCs w:val="24"/>
        </w:rPr>
        <w:t xml:space="preserve"> se puede establecer si </w:t>
      </w:r>
      <w:r w:rsidR="00197B63">
        <w:rPr>
          <w:rFonts w:ascii="Avenir Next" w:hAnsi="Avenir Next"/>
          <w:sz w:val="24"/>
          <w:szCs w:val="24"/>
        </w:rPr>
        <w:t>su</w:t>
      </w:r>
      <w:r w:rsidRPr="002667B2">
        <w:rPr>
          <w:rFonts w:ascii="Avenir Next" w:hAnsi="Avenir Next"/>
          <w:sz w:val="24"/>
          <w:szCs w:val="24"/>
        </w:rPr>
        <w:t xml:space="preserve"> </w:t>
      </w:r>
      <w:r w:rsidRPr="00580BAA">
        <w:rPr>
          <w:rFonts w:ascii="Avenir Next" w:hAnsi="Avenir Next"/>
          <w:sz w:val="24"/>
          <w:szCs w:val="24"/>
        </w:rPr>
        <w:t xml:space="preserve">estado es bueno, regular o malo. Se establece como </w:t>
      </w:r>
      <w:r w:rsidR="00B904DB">
        <w:rPr>
          <w:rFonts w:ascii="Avenir Next" w:hAnsi="Avenir Next"/>
          <w:sz w:val="24"/>
          <w:szCs w:val="24"/>
        </w:rPr>
        <w:t xml:space="preserve">estado </w:t>
      </w:r>
      <w:r w:rsidRPr="00580BAA">
        <w:rPr>
          <w:rFonts w:ascii="Avenir Next" w:hAnsi="Avenir Next"/>
          <w:sz w:val="24"/>
          <w:szCs w:val="24"/>
        </w:rPr>
        <w:t xml:space="preserve">bueno </w:t>
      </w:r>
      <w:r w:rsidRPr="000D5C91">
        <w:rPr>
          <w:rFonts w:ascii="Avenir Next" w:hAnsi="Avenir Next"/>
          <w:sz w:val="24"/>
          <w:szCs w:val="24"/>
        </w:rPr>
        <w:t>cuando no</w:t>
      </w:r>
      <w:r w:rsidRPr="00580BAA">
        <w:rPr>
          <w:rFonts w:ascii="Avenir Next" w:hAnsi="Avenir Next"/>
          <w:sz w:val="24"/>
          <w:szCs w:val="24"/>
        </w:rPr>
        <w:t xml:space="preserve"> presenta deterioros estructurales o presenta signos mínimos que no comprometen su estabilidad, integridad y legibilidad. Por otro lado</w:t>
      </w:r>
      <w:r w:rsidR="00BD5E3D" w:rsidRPr="00580BAA">
        <w:rPr>
          <w:rFonts w:ascii="Avenir Next" w:hAnsi="Avenir Next"/>
          <w:sz w:val="24"/>
          <w:szCs w:val="24"/>
        </w:rPr>
        <w:t>,</w:t>
      </w:r>
      <w:r w:rsidR="00B904DB">
        <w:rPr>
          <w:rFonts w:ascii="Avenir Next" w:hAnsi="Avenir Next"/>
          <w:sz w:val="24"/>
          <w:szCs w:val="24"/>
        </w:rPr>
        <w:t xml:space="preserve"> se dice que el estado es </w:t>
      </w:r>
      <w:r w:rsidRPr="00580BAA">
        <w:rPr>
          <w:rFonts w:ascii="Avenir Next" w:hAnsi="Avenir Next"/>
          <w:sz w:val="24"/>
          <w:szCs w:val="24"/>
        </w:rPr>
        <w:t xml:space="preserve">regular si la pieza presenta características que afectan su legibilidad pero no su estabilidad </w:t>
      </w:r>
      <w:r w:rsidRPr="00B904DB">
        <w:rPr>
          <w:rFonts w:ascii="Avenir Next" w:hAnsi="Avenir Next"/>
          <w:sz w:val="24"/>
          <w:szCs w:val="24"/>
        </w:rPr>
        <w:t>estructural</w:t>
      </w:r>
      <w:r w:rsidR="0081654B" w:rsidRPr="00B904DB">
        <w:rPr>
          <w:rFonts w:ascii="Avenir Next" w:hAnsi="Avenir Next"/>
          <w:sz w:val="24"/>
          <w:szCs w:val="24"/>
        </w:rPr>
        <w:t>, y en</w:t>
      </w:r>
      <w:r w:rsidRPr="00580BAA">
        <w:rPr>
          <w:rFonts w:ascii="Avenir Next" w:hAnsi="Avenir Next"/>
          <w:sz w:val="24"/>
          <w:szCs w:val="24"/>
        </w:rPr>
        <w:t xml:space="preserve"> un estado malo </w:t>
      </w:r>
      <w:r w:rsidR="0081654B" w:rsidRPr="00B904DB">
        <w:rPr>
          <w:rFonts w:ascii="Avenir Next" w:hAnsi="Avenir Next"/>
          <w:sz w:val="24"/>
          <w:szCs w:val="24"/>
        </w:rPr>
        <w:t>cuando</w:t>
      </w:r>
      <w:r w:rsidRPr="00B904DB">
        <w:rPr>
          <w:rFonts w:ascii="Avenir Next" w:hAnsi="Avenir Next"/>
          <w:sz w:val="24"/>
          <w:szCs w:val="24"/>
        </w:rPr>
        <w:t xml:space="preserve"> </w:t>
      </w:r>
      <w:r w:rsidRPr="00580BAA">
        <w:rPr>
          <w:rFonts w:ascii="Avenir Next" w:hAnsi="Avenir Next"/>
          <w:sz w:val="24"/>
          <w:szCs w:val="24"/>
        </w:rPr>
        <w:t xml:space="preserve">exhibe deterioros </w:t>
      </w:r>
      <w:r w:rsidR="00006598" w:rsidRPr="00580BAA">
        <w:rPr>
          <w:rFonts w:ascii="Avenir Next" w:hAnsi="Avenir Next"/>
          <w:sz w:val="24"/>
          <w:szCs w:val="24"/>
        </w:rPr>
        <w:t>significativos</w:t>
      </w:r>
      <w:r w:rsidRPr="00580BAA">
        <w:rPr>
          <w:rFonts w:ascii="Avenir Next" w:hAnsi="Avenir Next"/>
          <w:sz w:val="24"/>
          <w:szCs w:val="24"/>
        </w:rPr>
        <w:t xml:space="preserve"> tanto que alteran la estructura, integridad y legib</w:t>
      </w:r>
      <w:r w:rsidRPr="002667B2">
        <w:rPr>
          <w:rFonts w:ascii="Avenir Next" w:hAnsi="Avenir Next"/>
          <w:sz w:val="24"/>
          <w:szCs w:val="24"/>
        </w:rPr>
        <w:t>ilidad de la obra de arte (MAC, 2019).</w:t>
      </w:r>
    </w:p>
    <w:p w14:paraId="000D3548" w14:textId="77777777"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 xml:space="preserve">La inspección de una obra inicia con su identificación material y en la mayoría de </w:t>
      </w:r>
      <w:r w:rsidRPr="00B904DB">
        <w:rPr>
          <w:rFonts w:ascii="Avenir Next" w:hAnsi="Avenir Next"/>
          <w:sz w:val="24"/>
          <w:szCs w:val="24"/>
        </w:rPr>
        <w:t>los casos se</w:t>
      </w:r>
      <w:r w:rsidRPr="002667B2">
        <w:rPr>
          <w:rFonts w:ascii="Avenir Next" w:hAnsi="Avenir Next"/>
          <w:sz w:val="24"/>
          <w:szCs w:val="24"/>
        </w:rPr>
        <w:t xml:space="preserve"> limita a la identificación macroscópica de sus </w:t>
      </w:r>
      <w:r w:rsidRPr="00B904DB">
        <w:rPr>
          <w:rFonts w:ascii="Avenir Next" w:hAnsi="Avenir Next"/>
          <w:sz w:val="24"/>
          <w:szCs w:val="24"/>
        </w:rPr>
        <w:t xml:space="preserve">componentes. Es </w:t>
      </w:r>
      <w:r w:rsidR="00E7453C" w:rsidRPr="00B904DB">
        <w:rPr>
          <w:rFonts w:ascii="Avenir Next" w:hAnsi="Avenir Next"/>
          <w:sz w:val="24"/>
          <w:szCs w:val="24"/>
        </w:rPr>
        <w:t>necesario</w:t>
      </w:r>
      <w:r w:rsidRPr="002667B2">
        <w:rPr>
          <w:rFonts w:ascii="Avenir Next" w:hAnsi="Avenir Next"/>
          <w:sz w:val="24"/>
          <w:szCs w:val="24"/>
        </w:rPr>
        <w:t xml:space="preserve"> resaltar las características visuales como </w:t>
      </w:r>
      <w:r w:rsidR="00E7453C">
        <w:rPr>
          <w:rFonts w:ascii="Avenir Next" w:hAnsi="Avenir Next"/>
          <w:sz w:val="24"/>
          <w:szCs w:val="24"/>
        </w:rPr>
        <w:t>el</w:t>
      </w:r>
      <w:r w:rsidRPr="002667B2">
        <w:rPr>
          <w:rFonts w:ascii="Avenir Next" w:hAnsi="Avenir Next"/>
          <w:sz w:val="24"/>
          <w:szCs w:val="24"/>
        </w:rPr>
        <w:t xml:space="preserve"> soporte (papel, cartón, madera, entre otros), así como, </w:t>
      </w:r>
      <w:r w:rsidR="00E7453C">
        <w:rPr>
          <w:rFonts w:ascii="Avenir Next" w:hAnsi="Avenir Next"/>
          <w:sz w:val="24"/>
          <w:szCs w:val="24"/>
        </w:rPr>
        <w:t>la</w:t>
      </w:r>
      <w:r w:rsidRPr="002667B2">
        <w:rPr>
          <w:rFonts w:ascii="Avenir Next" w:hAnsi="Avenir Next"/>
          <w:sz w:val="24"/>
          <w:szCs w:val="24"/>
        </w:rPr>
        <w:t xml:space="preserve"> técnica </w:t>
      </w:r>
      <w:r w:rsidR="00E7453C">
        <w:rPr>
          <w:rFonts w:ascii="Avenir Next" w:hAnsi="Avenir Next"/>
          <w:sz w:val="24"/>
          <w:szCs w:val="24"/>
        </w:rPr>
        <w:t xml:space="preserve">aplicada </w:t>
      </w:r>
      <w:r w:rsidRPr="002667B2">
        <w:rPr>
          <w:rFonts w:ascii="Avenir Next" w:hAnsi="Avenir Next"/>
          <w:sz w:val="24"/>
          <w:szCs w:val="24"/>
        </w:rPr>
        <w:t xml:space="preserve">(acuarela, óleo, grafito, entre otros), que está vinculado con el </w:t>
      </w:r>
      <w:r w:rsidRPr="00E7453C">
        <w:rPr>
          <w:rFonts w:ascii="Avenir Next" w:hAnsi="Avenir Next"/>
          <w:sz w:val="24"/>
          <w:szCs w:val="24"/>
        </w:rPr>
        <w:t>tipo</w:t>
      </w:r>
      <w:r w:rsidRPr="002667B2">
        <w:rPr>
          <w:rFonts w:ascii="Avenir Next" w:hAnsi="Avenir Next"/>
          <w:sz w:val="24"/>
          <w:szCs w:val="24"/>
        </w:rPr>
        <w:t xml:space="preserve"> de material implementado para generar la capa pictórica. En el caso particular de las acuarelas, se establecieron como indicadores de caracterización:</w:t>
      </w:r>
    </w:p>
    <w:p w14:paraId="15C1C0A8" w14:textId="77777777" w:rsidR="00144113" w:rsidRPr="002667B2" w:rsidRDefault="00AA5394">
      <w:pPr>
        <w:spacing w:before="240" w:after="240" w:line="240" w:lineRule="auto"/>
        <w:ind w:left="720"/>
        <w:jc w:val="both"/>
        <w:rPr>
          <w:rFonts w:ascii="Avenir Next" w:hAnsi="Avenir Next"/>
          <w:sz w:val="24"/>
          <w:szCs w:val="24"/>
        </w:rPr>
      </w:pPr>
      <w:r w:rsidRPr="002667B2">
        <w:rPr>
          <w:rFonts w:ascii="Avenir Next" w:hAnsi="Avenir Next"/>
          <w:sz w:val="24"/>
          <w:szCs w:val="24"/>
        </w:rPr>
        <w:t>-</w:t>
      </w:r>
      <w:r w:rsidRPr="002667B2">
        <w:rPr>
          <w:rFonts w:ascii="Avenir Next" w:eastAsia="Times New Roman" w:hAnsi="Avenir Next" w:cs="Times New Roman"/>
          <w:sz w:val="14"/>
          <w:szCs w:val="14"/>
        </w:rPr>
        <w:t xml:space="preserve">   </w:t>
      </w:r>
      <w:r w:rsidRPr="002667B2">
        <w:rPr>
          <w:rFonts w:ascii="Avenir Next" w:eastAsia="Times New Roman" w:hAnsi="Avenir Next" w:cs="Times New Roman"/>
          <w:sz w:val="14"/>
          <w:szCs w:val="14"/>
        </w:rPr>
        <w:tab/>
      </w:r>
      <w:r w:rsidRPr="002667B2">
        <w:rPr>
          <w:rFonts w:ascii="Avenir Next" w:hAnsi="Avenir Next"/>
          <w:sz w:val="24"/>
          <w:szCs w:val="24"/>
          <w:u w:val="single"/>
        </w:rPr>
        <w:t>Soporte</w:t>
      </w:r>
      <w:r w:rsidRPr="002667B2">
        <w:rPr>
          <w:rFonts w:ascii="Avenir Next" w:hAnsi="Avenir Next"/>
          <w:sz w:val="24"/>
          <w:szCs w:val="24"/>
        </w:rPr>
        <w:t>: papel o cartón</w:t>
      </w:r>
    </w:p>
    <w:p w14:paraId="4508BB08" w14:textId="77777777" w:rsidR="00144113" w:rsidRPr="002667B2" w:rsidRDefault="00AA5394">
      <w:pPr>
        <w:spacing w:before="240" w:after="240" w:line="240" w:lineRule="auto"/>
        <w:ind w:left="720"/>
        <w:jc w:val="both"/>
        <w:rPr>
          <w:rFonts w:ascii="Avenir Next" w:hAnsi="Avenir Next"/>
          <w:sz w:val="24"/>
          <w:szCs w:val="24"/>
        </w:rPr>
      </w:pPr>
      <w:r w:rsidRPr="002667B2">
        <w:rPr>
          <w:rFonts w:ascii="Avenir Next" w:hAnsi="Avenir Next"/>
          <w:sz w:val="24"/>
          <w:szCs w:val="24"/>
        </w:rPr>
        <w:t>-</w:t>
      </w:r>
      <w:r w:rsidRPr="002667B2">
        <w:rPr>
          <w:rFonts w:ascii="Avenir Next" w:eastAsia="Times New Roman" w:hAnsi="Avenir Next" w:cs="Times New Roman"/>
          <w:sz w:val="14"/>
          <w:szCs w:val="14"/>
        </w:rPr>
        <w:t xml:space="preserve">   </w:t>
      </w:r>
      <w:r w:rsidRPr="002667B2">
        <w:rPr>
          <w:rFonts w:ascii="Avenir Next" w:eastAsia="Times New Roman" w:hAnsi="Avenir Next" w:cs="Times New Roman"/>
          <w:sz w:val="14"/>
          <w:szCs w:val="14"/>
        </w:rPr>
        <w:tab/>
      </w:r>
      <w:r w:rsidRPr="002667B2">
        <w:rPr>
          <w:rFonts w:ascii="Avenir Next" w:hAnsi="Avenir Next"/>
          <w:sz w:val="24"/>
          <w:szCs w:val="24"/>
          <w:u w:val="single"/>
        </w:rPr>
        <w:t>Capa pictórica</w:t>
      </w:r>
      <w:r w:rsidRPr="002667B2">
        <w:rPr>
          <w:rFonts w:ascii="Avenir Next" w:hAnsi="Avenir Next"/>
          <w:sz w:val="24"/>
          <w:szCs w:val="24"/>
        </w:rPr>
        <w:t>: paleta de colores, marca de pigmentos y grafito (presencia o ausencia</w:t>
      </w:r>
      <w:r w:rsidRPr="00164B95">
        <w:rPr>
          <w:rFonts w:ascii="Avenir Next" w:hAnsi="Avenir Next"/>
          <w:sz w:val="24"/>
          <w:szCs w:val="24"/>
        </w:rPr>
        <w:t>).</w:t>
      </w:r>
      <w:r w:rsidRPr="002667B2">
        <w:rPr>
          <w:rFonts w:ascii="Avenir Next" w:hAnsi="Avenir Next"/>
          <w:sz w:val="24"/>
          <w:szCs w:val="24"/>
        </w:rPr>
        <w:t xml:space="preserve"> </w:t>
      </w:r>
    </w:p>
    <w:p w14:paraId="7AFC0CC5" w14:textId="77777777" w:rsidR="00144113" w:rsidRPr="002667B2" w:rsidRDefault="00AA5394">
      <w:pPr>
        <w:spacing w:before="240" w:after="240" w:line="240" w:lineRule="auto"/>
        <w:ind w:left="720"/>
        <w:jc w:val="both"/>
        <w:rPr>
          <w:rFonts w:ascii="Avenir Next" w:hAnsi="Avenir Next"/>
          <w:sz w:val="24"/>
          <w:szCs w:val="24"/>
        </w:rPr>
      </w:pPr>
      <w:r w:rsidRPr="002667B2">
        <w:rPr>
          <w:rFonts w:ascii="Avenir Next" w:hAnsi="Avenir Next"/>
          <w:sz w:val="24"/>
          <w:szCs w:val="24"/>
        </w:rPr>
        <w:t>-</w:t>
      </w:r>
      <w:r w:rsidRPr="002667B2">
        <w:rPr>
          <w:rFonts w:ascii="Avenir Next" w:eastAsia="Times New Roman" w:hAnsi="Avenir Next" w:cs="Times New Roman"/>
          <w:sz w:val="14"/>
          <w:szCs w:val="14"/>
        </w:rPr>
        <w:t xml:space="preserve">   </w:t>
      </w:r>
      <w:r w:rsidRPr="002667B2">
        <w:rPr>
          <w:rFonts w:ascii="Avenir Next" w:eastAsia="Times New Roman" w:hAnsi="Avenir Next" w:cs="Times New Roman"/>
          <w:sz w:val="14"/>
          <w:szCs w:val="14"/>
        </w:rPr>
        <w:tab/>
      </w:r>
      <w:r w:rsidRPr="002667B2">
        <w:rPr>
          <w:rFonts w:ascii="Avenir Next" w:hAnsi="Avenir Next"/>
          <w:sz w:val="24"/>
          <w:szCs w:val="24"/>
          <w:u w:val="single"/>
        </w:rPr>
        <w:t>Aglutinante</w:t>
      </w:r>
      <w:r w:rsidRPr="002667B2">
        <w:rPr>
          <w:rFonts w:ascii="Avenir Next" w:hAnsi="Avenir Next"/>
          <w:sz w:val="24"/>
          <w:szCs w:val="24"/>
        </w:rPr>
        <w:t>: goma arábiga, miel, glicerina, entre otros.</w:t>
      </w:r>
    </w:p>
    <w:p w14:paraId="3282DAA7" w14:textId="77777777" w:rsidR="00144113" w:rsidRDefault="00AA5394">
      <w:pPr>
        <w:spacing w:before="240" w:after="240" w:line="240" w:lineRule="auto"/>
        <w:jc w:val="both"/>
        <w:rPr>
          <w:rFonts w:ascii="Avenir Next" w:hAnsi="Avenir Next"/>
          <w:sz w:val="24"/>
          <w:szCs w:val="24"/>
        </w:rPr>
      </w:pPr>
      <w:r w:rsidRPr="002667B2">
        <w:rPr>
          <w:rFonts w:ascii="Avenir Next" w:hAnsi="Avenir Next"/>
          <w:sz w:val="24"/>
          <w:szCs w:val="24"/>
        </w:rPr>
        <w:t>La caracterización material se realiza a través de la observación macroscópica o visual y microscópica (fotografía multiespectral, XRF, análisis microbiológicos, entre otros), y sirve de insumo para entender la razón de los deterioros en los objetos.</w:t>
      </w:r>
    </w:p>
    <w:p w14:paraId="00FBE678" w14:textId="77777777" w:rsidR="00454FAC" w:rsidRDefault="00454FAC">
      <w:pPr>
        <w:spacing w:before="240" w:after="240" w:line="240" w:lineRule="auto"/>
        <w:jc w:val="both"/>
        <w:rPr>
          <w:rFonts w:ascii="Avenir Next" w:hAnsi="Avenir Next"/>
          <w:sz w:val="24"/>
          <w:szCs w:val="24"/>
        </w:rPr>
      </w:pPr>
    </w:p>
    <w:p w14:paraId="5AC538CC" w14:textId="77777777" w:rsidR="00454FAC" w:rsidRPr="002667B2" w:rsidRDefault="00454FAC">
      <w:pPr>
        <w:spacing w:before="240" w:after="240" w:line="240" w:lineRule="auto"/>
        <w:jc w:val="both"/>
        <w:rPr>
          <w:rFonts w:ascii="Avenir Next" w:hAnsi="Avenir Next"/>
          <w:sz w:val="24"/>
          <w:szCs w:val="24"/>
        </w:rPr>
      </w:pPr>
    </w:p>
    <w:p w14:paraId="610B0086"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lastRenderedPageBreak/>
        <w:t xml:space="preserve">Fausto Pacheco Hernández </w:t>
      </w:r>
    </w:p>
    <w:p w14:paraId="7E1FF5EF"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Fausto Pacheco Hernández es una figura emblemática de la transformación artística que aconteció en la primera mitad del siglo XX en la pintura costarricense. Su relevancia en el arte costarricense se relaciona con el momento histórico en el que desarrolló su obra. </w:t>
      </w:r>
    </w:p>
    <w:p w14:paraId="2B2AC930"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Sin mayor formación en el ámbito de las artes plásticas, Fausto Pacheco </w:t>
      </w:r>
      <w:r w:rsidRPr="00B904DB">
        <w:rPr>
          <w:rFonts w:ascii="Avenir Next" w:hAnsi="Avenir Next"/>
          <w:sz w:val="24"/>
          <w:szCs w:val="24"/>
        </w:rPr>
        <w:t>incursionó en este campo</w:t>
      </w:r>
      <w:r w:rsidRPr="002667B2">
        <w:rPr>
          <w:rFonts w:ascii="Avenir Next" w:hAnsi="Avenir Next"/>
          <w:sz w:val="24"/>
          <w:szCs w:val="24"/>
        </w:rPr>
        <w:t xml:space="preserve"> orientado por su intuición y por su talento. Su inmersión en el clima artístico josefino de los años veinte y treinta, constituyó una escuela</w:t>
      </w:r>
      <w:r w:rsidR="006D0E60">
        <w:rPr>
          <w:rFonts w:ascii="Avenir Next" w:hAnsi="Avenir Next"/>
          <w:sz w:val="24"/>
          <w:szCs w:val="24"/>
        </w:rPr>
        <w:t xml:space="preserve"> valiosa</w:t>
      </w:r>
      <w:r w:rsidRPr="002667B2">
        <w:rPr>
          <w:rFonts w:ascii="Avenir Next" w:hAnsi="Avenir Next"/>
          <w:sz w:val="24"/>
          <w:szCs w:val="24"/>
        </w:rPr>
        <w:t xml:space="preserve"> que le acercó a los artistas más connotados y a la diversidad de posturas estéticas que motivaron más de un debate en la prensa escrita y en los círculos artísticos de la época.</w:t>
      </w:r>
    </w:p>
    <w:p w14:paraId="2374F78D"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Para comprender mejor </w:t>
      </w:r>
      <w:r w:rsidR="00537A40" w:rsidRPr="00537A40">
        <w:rPr>
          <w:rFonts w:ascii="Avenir Next" w:hAnsi="Avenir Next"/>
          <w:sz w:val="24"/>
          <w:szCs w:val="24"/>
        </w:rPr>
        <w:t xml:space="preserve">el </w:t>
      </w:r>
      <w:r w:rsidRPr="00537A40">
        <w:rPr>
          <w:rFonts w:ascii="Avenir Next" w:hAnsi="Avenir Next"/>
          <w:sz w:val="24"/>
          <w:szCs w:val="24"/>
        </w:rPr>
        <w:t>contexto</w:t>
      </w:r>
      <w:r w:rsidR="00537A40" w:rsidRPr="00537A40">
        <w:rPr>
          <w:rFonts w:ascii="Avenir Next" w:hAnsi="Avenir Next"/>
          <w:sz w:val="24"/>
          <w:szCs w:val="24"/>
        </w:rPr>
        <w:t xml:space="preserve"> desarrollado</w:t>
      </w:r>
      <w:r w:rsidRPr="00537A40">
        <w:rPr>
          <w:rFonts w:ascii="Avenir Next" w:hAnsi="Avenir Next"/>
          <w:sz w:val="24"/>
          <w:szCs w:val="24"/>
        </w:rPr>
        <w:t xml:space="preserve">, </w:t>
      </w:r>
      <w:r w:rsidR="00537A40">
        <w:rPr>
          <w:rFonts w:ascii="Avenir Next" w:hAnsi="Avenir Next"/>
          <w:sz w:val="24"/>
          <w:szCs w:val="24"/>
        </w:rPr>
        <w:t>se</w:t>
      </w:r>
      <w:r w:rsidRPr="002667B2">
        <w:rPr>
          <w:rFonts w:ascii="Avenir Next" w:hAnsi="Avenir Next"/>
          <w:sz w:val="24"/>
          <w:szCs w:val="24"/>
        </w:rPr>
        <w:t xml:space="preserve"> destaca que la dinámica artística costarricense de inicios del siglo XX estaba conformada por un segmento de personas alineadas a los cánones artísticos académicos, -los cuales, cabe destacar, eran promovidos desde la recientemente creada Escuela Nacional de Bellas Artes (1897)-; y otro segmento afín a las transformaciones artísticas acaecidas en Europa desde finales del siglo anterior, así como a las corrientes latinoamericanistas promovidas por las redes de intelectuales en los diversos países del subcontinente.</w:t>
      </w:r>
    </w:p>
    <w:p w14:paraId="5949B024"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Como ha apuntado la historiadora del arte Eugenia </w:t>
      </w:r>
      <w:r w:rsidR="00164B95" w:rsidRPr="002667B2">
        <w:rPr>
          <w:rFonts w:ascii="Avenir Next" w:hAnsi="Avenir Next"/>
          <w:sz w:val="24"/>
          <w:szCs w:val="24"/>
        </w:rPr>
        <w:t>Zavaleta Ochoa</w:t>
      </w:r>
      <w:r w:rsidRPr="002667B2">
        <w:rPr>
          <w:rFonts w:ascii="Avenir Next" w:hAnsi="Avenir Next"/>
          <w:sz w:val="24"/>
          <w:szCs w:val="24"/>
        </w:rPr>
        <w:t xml:space="preserve"> (2004), aunque esta diversidad de posturas no se reflejó nunca en la definición de grupos o movimientos organizados en torno a un posicionamiento estético, sí dieron lugar a artículos de opinión en los que es posible reconocer el tránsito de una propensión a validar la vigencia de las academias y del arte clásico </w:t>
      </w:r>
      <w:r w:rsidRPr="00B32B2E">
        <w:rPr>
          <w:rFonts w:ascii="Avenir Next" w:hAnsi="Avenir Next"/>
          <w:sz w:val="24"/>
          <w:szCs w:val="24"/>
        </w:rPr>
        <w:t>(Cfr. pp. 69-76), a una diversificación de posturas que expresa el enfrentamiento entre académicos y modernistas (Cfr. pp. 83-93).</w:t>
      </w:r>
    </w:p>
    <w:p w14:paraId="7AF73FB3" w14:textId="77777777" w:rsidR="00144113" w:rsidRPr="002667B2" w:rsidRDefault="00AB7560" w:rsidP="000E0355">
      <w:pPr>
        <w:spacing w:after="200" w:line="240" w:lineRule="auto"/>
        <w:jc w:val="both"/>
        <w:rPr>
          <w:rFonts w:ascii="Avenir Next" w:hAnsi="Avenir Next"/>
          <w:sz w:val="24"/>
          <w:szCs w:val="24"/>
        </w:rPr>
      </w:pPr>
      <w:r w:rsidRPr="00AB7560">
        <w:rPr>
          <w:rFonts w:ascii="Avenir Next" w:hAnsi="Avenir Next"/>
          <w:sz w:val="24"/>
          <w:szCs w:val="24"/>
        </w:rPr>
        <w:t>La</w:t>
      </w:r>
      <w:r w:rsidR="00AA5394" w:rsidRPr="00AB7560">
        <w:rPr>
          <w:rFonts w:ascii="Avenir Next" w:hAnsi="Avenir Next"/>
          <w:sz w:val="24"/>
          <w:szCs w:val="24"/>
        </w:rPr>
        <w:t xml:space="preserve"> transformación</w:t>
      </w:r>
      <w:r>
        <w:rPr>
          <w:rFonts w:ascii="Avenir Next" w:hAnsi="Avenir Next"/>
          <w:sz w:val="24"/>
          <w:szCs w:val="24"/>
        </w:rPr>
        <w:t xml:space="preserve"> mencionada</w:t>
      </w:r>
      <w:r w:rsidR="00AA5394" w:rsidRPr="002667B2">
        <w:rPr>
          <w:rFonts w:ascii="Avenir Next" w:hAnsi="Avenir Next"/>
          <w:sz w:val="24"/>
          <w:szCs w:val="24"/>
        </w:rPr>
        <w:t xml:space="preserve"> se relaciona con las </w:t>
      </w:r>
      <w:r w:rsidR="00AA5394" w:rsidRPr="002667B2">
        <w:rPr>
          <w:rFonts w:ascii="Avenir Next" w:hAnsi="Avenir Next"/>
          <w:i/>
          <w:sz w:val="24"/>
          <w:szCs w:val="24"/>
        </w:rPr>
        <w:t>Exposiciones del Diario de Costa Rica</w:t>
      </w:r>
      <w:r w:rsidR="00AA5394" w:rsidRPr="002667B2">
        <w:rPr>
          <w:rFonts w:ascii="Avenir Next" w:hAnsi="Avenir Next"/>
          <w:sz w:val="24"/>
          <w:szCs w:val="24"/>
        </w:rPr>
        <w:t xml:space="preserve"> (1928-1937), cuyas nueve ediciones detonaron una efervescencia inédita en el país, a causa de la amplitud y la diversidad de obras participantes, así como de las desavenencias que suscitaron las premiaciones</w:t>
      </w:r>
      <w:r w:rsidR="0081654B">
        <w:rPr>
          <w:rFonts w:ascii="Avenir Next" w:hAnsi="Avenir Next"/>
          <w:sz w:val="24"/>
          <w:szCs w:val="24"/>
        </w:rPr>
        <w:t xml:space="preserve">; </w:t>
      </w:r>
      <w:r w:rsidR="0081654B" w:rsidRPr="00B904DB">
        <w:rPr>
          <w:rFonts w:ascii="Avenir Next" w:hAnsi="Avenir Next"/>
          <w:sz w:val="24"/>
          <w:szCs w:val="24"/>
        </w:rPr>
        <w:t xml:space="preserve">ya que </w:t>
      </w:r>
      <w:r w:rsidR="00AA5394" w:rsidRPr="00B904DB">
        <w:rPr>
          <w:rFonts w:ascii="Avenir Next" w:hAnsi="Avenir Next"/>
          <w:sz w:val="24"/>
          <w:szCs w:val="24"/>
        </w:rPr>
        <w:t>implicaron</w:t>
      </w:r>
      <w:r w:rsidR="000E0355">
        <w:rPr>
          <w:rFonts w:ascii="Avenir Next" w:hAnsi="Avenir Next"/>
          <w:sz w:val="24"/>
          <w:szCs w:val="24"/>
        </w:rPr>
        <w:t xml:space="preserve"> </w:t>
      </w:r>
      <w:r w:rsidR="00AA5394" w:rsidRPr="002667B2">
        <w:rPr>
          <w:rFonts w:ascii="Avenir Next" w:hAnsi="Avenir Next"/>
          <w:sz w:val="24"/>
          <w:szCs w:val="24"/>
        </w:rPr>
        <w:t xml:space="preserve">una ruptura del gusto imperante, habituado a las reproducciones de las “obras maestras europeas”. Así, quienes visitaron las exposiciones se encontraron con una situación poco habitual: creaciones realizadas en el país </w:t>
      </w:r>
      <w:r w:rsidR="00BD5E3D" w:rsidRPr="002667B2">
        <w:rPr>
          <w:rFonts w:ascii="Avenir Next" w:hAnsi="Avenir Next"/>
          <w:sz w:val="24"/>
          <w:szCs w:val="24"/>
        </w:rPr>
        <w:t>que,</w:t>
      </w:r>
      <w:r w:rsidR="00AA5394" w:rsidRPr="002667B2">
        <w:rPr>
          <w:rFonts w:ascii="Avenir Next" w:hAnsi="Avenir Next"/>
          <w:sz w:val="24"/>
          <w:szCs w:val="24"/>
        </w:rPr>
        <w:t xml:space="preserve"> en vez de copiar los clásicos europeos, representaban los paisajes locales o retrataban a sus seres queridos. Lo inusitado de la situación se recrudecía cuando las obras se alejaban de las convenciones clásicas ancladas en la representación de “la realidad”, y se aproximaban a lo que en la época se identificaba como “arte moderno”, término que se asociaba con el impresionismo, el postimpresionismo y las vanguardias artísticas de inicios del siglo XX.</w:t>
      </w:r>
    </w:p>
    <w:p w14:paraId="7A53A212"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Las </w:t>
      </w:r>
      <w:r w:rsidRPr="002667B2">
        <w:rPr>
          <w:rFonts w:ascii="Avenir Next" w:hAnsi="Avenir Next"/>
          <w:i/>
          <w:sz w:val="24"/>
          <w:szCs w:val="24"/>
        </w:rPr>
        <w:t xml:space="preserve">Exposiciones del Diario de Costa Rica </w:t>
      </w:r>
      <w:r w:rsidRPr="002667B2">
        <w:rPr>
          <w:rFonts w:ascii="Avenir Next" w:hAnsi="Avenir Next"/>
          <w:sz w:val="24"/>
          <w:szCs w:val="24"/>
        </w:rPr>
        <w:t xml:space="preserve">visibilizaron y animaron una transformación en el campo de las artes plásticas costarricenses. En </w:t>
      </w:r>
      <w:r w:rsidRPr="00AB7560">
        <w:rPr>
          <w:rFonts w:ascii="Avenir Next" w:hAnsi="Avenir Next"/>
          <w:sz w:val="24"/>
          <w:szCs w:val="24"/>
        </w:rPr>
        <w:t>e</w:t>
      </w:r>
      <w:r w:rsidR="00AB7560" w:rsidRPr="00AB7560">
        <w:rPr>
          <w:rFonts w:ascii="Avenir Next" w:hAnsi="Avenir Next"/>
          <w:sz w:val="24"/>
          <w:szCs w:val="24"/>
        </w:rPr>
        <w:t>l</w:t>
      </w:r>
      <w:r w:rsidRPr="00AB7560">
        <w:rPr>
          <w:rFonts w:ascii="Avenir Next" w:hAnsi="Avenir Next"/>
          <w:sz w:val="24"/>
          <w:szCs w:val="24"/>
        </w:rPr>
        <w:t xml:space="preserve"> proceso</w:t>
      </w:r>
      <w:r w:rsidRPr="002667B2">
        <w:rPr>
          <w:rFonts w:ascii="Avenir Next" w:hAnsi="Avenir Next"/>
          <w:sz w:val="24"/>
          <w:szCs w:val="24"/>
        </w:rPr>
        <w:t xml:space="preserve"> de cambio, tan </w:t>
      </w:r>
      <w:r w:rsidR="00AB7560" w:rsidRPr="00AB7560">
        <w:rPr>
          <w:rFonts w:ascii="Avenir Next" w:hAnsi="Avenir Next"/>
          <w:sz w:val="24"/>
          <w:szCs w:val="24"/>
        </w:rPr>
        <w:t>notable</w:t>
      </w:r>
      <w:r w:rsidRPr="002667B2">
        <w:rPr>
          <w:rFonts w:ascii="Avenir Next" w:hAnsi="Avenir Next"/>
          <w:sz w:val="24"/>
          <w:szCs w:val="24"/>
        </w:rPr>
        <w:t xml:space="preserve"> fue el impresionismo y las vanguardias artísticas de inicios del siglo XX, como las tendencias latinoamericanistas que cuestionaban la dependencia cultural con el viejo continente y promovían el desarrollo de un pensamiento y de una creación artística </w:t>
      </w:r>
      <w:r w:rsidRPr="00495656">
        <w:rPr>
          <w:rFonts w:ascii="Avenir Next" w:hAnsi="Avenir Next"/>
          <w:sz w:val="24"/>
          <w:szCs w:val="24"/>
        </w:rPr>
        <w:t>propia. Así, “</w:t>
      </w:r>
      <w:r w:rsidR="00495656" w:rsidRPr="00495656">
        <w:rPr>
          <w:rFonts w:ascii="Times New Roman" w:hAnsi="Times New Roman" w:cs="Times New Roman"/>
          <w:sz w:val="24"/>
          <w:szCs w:val="24"/>
        </w:rPr>
        <w:t>[</w:t>
      </w:r>
      <w:r w:rsidRPr="00495656">
        <w:rPr>
          <w:rFonts w:ascii="Avenir Next" w:hAnsi="Avenir Next"/>
          <w:sz w:val="24"/>
          <w:szCs w:val="24"/>
        </w:rPr>
        <w:t>…</w:t>
      </w:r>
      <w:r w:rsidR="00495656" w:rsidRPr="00495656">
        <w:rPr>
          <w:rFonts w:ascii="Times New Roman" w:hAnsi="Times New Roman" w:cs="Times New Roman"/>
          <w:sz w:val="24"/>
          <w:szCs w:val="24"/>
        </w:rPr>
        <w:t>]</w:t>
      </w:r>
      <w:r w:rsidRPr="00495656">
        <w:rPr>
          <w:rFonts w:ascii="Avenir Next" w:hAnsi="Avenir Next"/>
          <w:sz w:val="24"/>
          <w:szCs w:val="24"/>
        </w:rPr>
        <w:t xml:space="preserve"> el deseo</w:t>
      </w:r>
      <w:r w:rsidRPr="002667B2">
        <w:rPr>
          <w:rFonts w:ascii="Avenir Next" w:hAnsi="Avenir Next"/>
          <w:sz w:val="24"/>
          <w:szCs w:val="24"/>
        </w:rPr>
        <w:t xml:space="preserve"> por ser universales y modernos surgió acompañado por una necesidad de encontrar la propia identidad y de comprender la realidad nacional” (Zavaleta Ochoa, 2004, p.</w:t>
      </w:r>
      <w:r w:rsidR="00BD5E3D" w:rsidRPr="002667B2">
        <w:rPr>
          <w:rFonts w:ascii="Avenir Next" w:hAnsi="Avenir Next"/>
          <w:sz w:val="24"/>
          <w:szCs w:val="24"/>
        </w:rPr>
        <w:t xml:space="preserve"> </w:t>
      </w:r>
      <w:r w:rsidRPr="002667B2">
        <w:rPr>
          <w:rFonts w:ascii="Avenir Next" w:hAnsi="Avenir Next"/>
          <w:sz w:val="24"/>
          <w:szCs w:val="24"/>
        </w:rPr>
        <w:t>134).</w:t>
      </w:r>
    </w:p>
    <w:p w14:paraId="757D8A0B" w14:textId="2A239689" w:rsidR="00144113" w:rsidRPr="002667B2" w:rsidRDefault="00AA5394">
      <w:pPr>
        <w:spacing w:after="200" w:line="240" w:lineRule="auto"/>
        <w:jc w:val="both"/>
        <w:rPr>
          <w:rFonts w:ascii="Avenir Next" w:hAnsi="Avenir Next"/>
          <w:sz w:val="24"/>
          <w:szCs w:val="24"/>
        </w:rPr>
      </w:pPr>
      <w:r w:rsidRPr="00AB7560">
        <w:rPr>
          <w:rFonts w:ascii="Avenir Next" w:hAnsi="Avenir Next"/>
          <w:sz w:val="24"/>
          <w:szCs w:val="24"/>
        </w:rPr>
        <w:t xml:space="preserve">En </w:t>
      </w:r>
      <w:r w:rsidR="00AB7560" w:rsidRPr="00AB7560">
        <w:rPr>
          <w:rFonts w:ascii="Avenir Next" w:hAnsi="Avenir Next"/>
          <w:sz w:val="24"/>
          <w:szCs w:val="24"/>
        </w:rPr>
        <w:t>el</w:t>
      </w:r>
      <w:r w:rsidRPr="00AB7560">
        <w:rPr>
          <w:rFonts w:ascii="Avenir Next" w:hAnsi="Avenir Next"/>
          <w:sz w:val="24"/>
          <w:szCs w:val="24"/>
        </w:rPr>
        <w:t xml:space="preserve"> contexto</w:t>
      </w:r>
      <w:r w:rsidR="00AB7560">
        <w:rPr>
          <w:rFonts w:ascii="Avenir Next" w:hAnsi="Avenir Next"/>
          <w:sz w:val="24"/>
          <w:szCs w:val="24"/>
        </w:rPr>
        <w:t xml:space="preserve"> descrito</w:t>
      </w:r>
      <w:r w:rsidRPr="002667B2">
        <w:rPr>
          <w:rFonts w:ascii="Avenir Next" w:hAnsi="Avenir Next"/>
          <w:sz w:val="24"/>
          <w:szCs w:val="24"/>
        </w:rPr>
        <w:t xml:space="preserve">, Fausto Pacheco encontró un clima de estímulo para producir y exhibir sus obras, así como un espacio de retroalimentación continua. Si la mentoría de Ezequiel Jiménez Rojas (1869-1957) y de Teodorico Quirós Alvarado (1897-1977), habían sido determinantes en el </w:t>
      </w:r>
      <w:r w:rsidRPr="002667B2">
        <w:rPr>
          <w:rFonts w:ascii="Avenir Next" w:hAnsi="Avenir Next"/>
          <w:sz w:val="24"/>
          <w:szCs w:val="24"/>
        </w:rPr>
        <w:lastRenderedPageBreak/>
        <w:t xml:space="preserve">desarrollo de su aprecio por la pintura al aire libre y por la representación del </w:t>
      </w:r>
      <w:r w:rsidRPr="00B904DB">
        <w:rPr>
          <w:rFonts w:ascii="Avenir Next" w:hAnsi="Avenir Next"/>
          <w:sz w:val="24"/>
          <w:szCs w:val="24"/>
        </w:rPr>
        <w:t>paisaje local, este ambiente de tran</w:t>
      </w:r>
      <w:r w:rsidRPr="002667B2">
        <w:rPr>
          <w:rFonts w:ascii="Avenir Next" w:hAnsi="Avenir Next"/>
          <w:sz w:val="24"/>
          <w:szCs w:val="24"/>
        </w:rPr>
        <w:t xml:space="preserve">sformación terminó de perfilar su inclinación hacia el desarrollo de una obra que, en línea con las tendencias latinoamericanistas, le permitió exaltar la especificidad de su paisaje natal -el </w:t>
      </w:r>
      <w:r w:rsidR="00164B95">
        <w:rPr>
          <w:rFonts w:ascii="Avenir Next" w:hAnsi="Avenir Next"/>
          <w:sz w:val="24"/>
          <w:szCs w:val="24"/>
        </w:rPr>
        <w:t>h</w:t>
      </w:r>
      <w:r w:rsidRPr="002667B2">
        <w:rPr>
          <w:rFonts w:ascii="Avenir Next" w:hAnsi="Avenir Next"/>
          <w:sz w:val="24"/>
          <w:szCs w:val="24"/>
        </w:rPr>
        <w:t>erediano-y, por extensión, del Valle Central costarricense.</w:t>
      </w:r>
    </w:p>
    <w:p w14:paraId="6C25AB6C"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Desde </w:t>
      </w:r>
      <w:r w:rsidRPr="00B904DB">
        <w:rPr>
          <w:rFonts w:ascii="Avenir Next" w:hAnsi="Avenir Next"/>
          <w:sz w:val="24"/>
          <w:szCs w:val="24"/>
        </w:rPr>
        <w:t>esta premisa,</w:t>
      </w:r>
      <w:r w:rsidRPr="002667B2">
        <w:rPr>
          <w:rFonts w:ascii="Avenir Next" w:hAnsi="Avenir Next"/>
          <w:sz w:val="24"/>
          <w:szCs w:val="24"/>
        </w:rPr>
        <w:t xml:space="preserve"> el árbol, la casa de adobe, la montaña y el cielo articularon una fórmula iconográfica que, junto a la luminosidad cromática y la armonía compositiva característica de sus obras, le posicionaron como el creador de una imagen emblemática de la nación.</w:t>
      </w:r>
    </w:p>
    <w:p w14:paraId="7C2E4FEF"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Entre los muchos artistas que se interesaron en la representación del paisaje, Fausto Pacheco creó una síntesis idealizada del entorno rural. Magnificó el cromatismo y la luminosidad del trópico, dando lugar a una imagen apacible que encontró eco con el imaginario acerca de la nación que se configuró entre finales del siglo XIX y mediados del siglo XX.</w:t>
      </w:r>
    </w:p>
    <w:p w14:paraId="17BD6DDA"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El distanciamiento de las convenciones representativas de carácter realista posibilitó todo tipo de licencias creativas. Entre ellas, cabe destacar la elección de las casas de adobe y la omisión de las construidas con madera y techadas con paja o zinc, tan comunes en los entornos rurales de esa época (</w:t>
      </w:r>
      <w:r w:rsidR="00164B95" w:rsidRPr="002667B2">
        <w:rPr>
          <w:rFonts w:ascii="Avenir Next" w:hAnsi="Avenir Next"/>
          <w:sz w:val="24"/>
          <w:szCs w:val="24"/>
        </w:rPr>
        <w:t>Zavaleta Ochoa</w:t>
      </w:r>
      <w:r w:rsidRPr="002667B2">
        <w:rPr>
          <w:rFonts w:ascii="Avenir Next" w:hAnsi="Avenir Next"/>
          <w:sz w:val="24"/>
          <w:szCs w:val="24"/>
        </w:rPr>
        <w:t xml:space="preserve">, 2004, p. 143). La luminosidad propia de un ambiente veraniego se impuso por sobre las variaciones climáticas y su impacto en la flora, la arquitectura y los suelos. Estos son entornos siempre verdes, siempre </w:t>
      </w:r>
      <w:r w:rsidRPr="00B904DB">
        <w:rPr>
          <w:rFonts w:ascii="Avenir Next" w:hAnsi="Avenir Next"/>
          <w:sz w:val="24"/>
          <w:szCs w:val="24"/>
        </w:rPr>
        <w:t xml:space="preserve">soleados. </w:t>
      </w:r>
      <w:r w:rsidR="00DF4543" w:rsidRPr="00B904DB">
        <w:rPr>
          <w:rFonts w:ascii="Avenir Next" w:hAnsi="Avenir Next"/>
          <w:sz w:val="24"/>
          <w:szCs w:val="24"/>
        </w:rPr>
        <w:t>Un</w:t>
      </w:r>
      <w:r w:rsidR="00DF4543">
        <w:rPr>
          <w:rFonts w:ascii="Avenir Next" w:hAnsi="Avenir Next"/>
          <w:sz w:val="24"/>
          <w:szCs w:val="24"/>
        </w:rPr>
        <w:t xml:space="preserve"> aspecto </w:t>
      </w:r>
      <w:r w:rsidR="00B904DB">
        <w:rPr>
          <w:rFonts w:ascii="Avenir Next" w:hAnsi="Avenir Next"/>
          <w:sz w:val="24"/>
          <w:szCs w:val="24"/>
        </w:rPr>
        <w:t>sustancial</w:t>
      </w:r>
      <w:r w:rsidRPr="002667B2">
        <w:rPr>
          <w:rFonts w:ascii="Avenir Next" w:hAnsi="Avenir Next"/>
          <w:sz w:val="24"/>
          <w:szCs w:val="24"/>
        </w:rPr>
        <w:t xml:space="preserve"> fue la creación de una paleta de colores “típica” de las casas de adobe, con tejas rojas, paredes blancas y zócalos azules; cuando lo usual era que los zócalos se pintaran con color rosa o verde (</w:t>
      </w:r>
      <w:r w:rsidR="00164B95" w:rsidRPr="002667B2">
        <w:rPr>
          <w:rFonts w:ascii="Avenir Next" w:hAnsi="Avenir Next"/>
          <w:sz w:val="24"/>
          <w:szCs w:val="24"/>
        </w:rPr>
        <w:t>Zavaleta Ochoa</w:t>
      </w:r>
      <w:r w:rsidRPr="002667B2">
        <w:rPr>
          <w:rFonts w:ascii="Avenir Next" w:hAnsi="Avenir Next"/>
          <w:sz w:val="24"/>
          <w:szCs w:val="24"/>
        </w:rPr>
        <w:t>, 2004, p. 140). No menos relevante fue la ausencia generalizada del campesinado, sector que se estaba convirtiendo en jornalero como consecuencia de la crisis económica de los años treinta (</w:t>
      </w:r>
      <w:r w:rsidR="00164B95" w:rsidRPr="002667B2">
        <w:rPr>
          <w:rFonts w:ascii="Avenir Next" w:hAnsi="Avenir Next"/>
          <w:sz w:val="24"/>
          <w:szCs w:val="24"/>
        </w:rPr>
        <w:t>Zavaleta Ochoa</w:t>
      </w:r>
      <w:r w:rsidRPr="002667B2">
        <w:rPr>
          <w:rFonts w:ascii="Avenir Next" w:hAnsi="Avenir Next"/>
          <w:sz w:val="24"/>
          <w:szCs w:val="24"/>
        </w:rPr>
        <w:t>, 2004, p. 143</w:t>
      </w:r>
      <w:r w:rsidRPr="00B904DB">
        <w:rPr>
          <w:rFonts w:ascii="Avenir Next" w:hAnsi="Avenir Next"/>
          <w:sz w:val="24"/>
          <w:szCs w:val="24"/>
        </w:rPr>
        <w:t>).</w:t>
      </w:r>
      <w:r w:rsidR="007026AD" w:rsidRPr="00B904DB">
        <w:rPr>
          <w:rFonts w:ascii="Avenir Next" w:hAnsi="Avenir Next"/>
          <w:sz w:val="24"/>
          <w:szCs w:val="24"/>
        </w:rPr>
        <w:t xml:space="preserve"> </w:t>
      </w:r>
      <w:r w:rsidR="0010251A" w:rsidRPr="00B904DB">
        <w:rPr>
          <w:rFonts w:ascii="Avenir Next" w:hAnsi="Avenir Next"/>
          <w:sz w:val="24"/>
          <w:szCs w:val="24"/>
        </w:rPr>
        <w:t>Lo anterior,</w:t>
      </w:r>
      <w:r w:rsidR="0010251A">
        <w:rPr>
          <w:rFonts w:ascii="Avenir Next" w:hAnsi="Avenir Next"/>
          <w:sz w:val="24"/>
          <w:szCs w:val="24"/>
        </w:rPr>
        <w:t xml:space="preserve"> </w:t>
      </w:r>
      <w:r w:rsidRPr="002667B2">
        <w:rPr>
          <w:rFonts w:ascii="Avenir Next" w:hAnsi="Avenir Next"/>
          <w:sz w:val="24"/>
          <w:szCs w:val="24"/>
        </w:rPr>
        <w:t>derivó en una imagen sintética e idealizada en la que, a través de la casa de adobe, se sugiere una relación armónica e inquebrantable entre el ser humano y la tierra</w:t>
      </w:r>
      <w:r w:rsidR="000375C9">
        <w:rPr>
          <w:rFonts w:ascii="Avenir Next" w:hAnsi="Avenir Next"/>
          <w:sz w:val="24"/>
          <w:szCs w:val="24"/>
        </w:rPr>
        <w:t>:</w:t>
      </w:r>
      <w:r w:rsidRPr="002667B2">
        <w:rPr>
          <w:rFonts w:ascii="Avenir Next" w:hAnsi="Avenir Next"/>
          <w:sz w:val="24"/>
          <w:szCs w:val="24"/>
        </w:rPr>
        <w:t xml:space="preserve"> “La tierra, sus atributos y sus habitantes, se convierten en una unidad indisoluble, al punto de que sus paisajes prescinden de la presencia humana</w:t>
      </w:r>
      <w:r w:rsidR="007026AD" w:rsidRPr="002667B2">
        <w:rPr>
          <w:rFonts w:ascii="Avenir Next" w:hAnsi="Avenir Next"/>
          <w:sz w:val="24"/>
          <w:szCs w:val="24"/>
        </w:rPr>
        <w:t xml:space="preserve"> [</w:t>
      </w:r>
      <w:r w:rsidRPr="002667B2">
        <w:rPr>
          <w:rFonts w:ascii="Avenir Next" w:hAnsi="Avenir Next"/>
          <w:sz w:val="24"/>
          <w:szCs w:val="24"/>
        </w:rPr>
        <w:t>…</w:t>
      </w:r>
      <w:r w:rsidR="007026AD" w:rsidRPr="002667B2">
        <w:rPr>
          <w:rFonts w:ascii="Avenir Next" w:hAnsi="Avenir Next"/>
          <w:sz w:val="24"/>
          <w:szCs w:val="24"/>
        </w:rPr>
        <w:t>]</w:t>
      </w:r>
      <w:r w:rsidRPr="002667B2">
        <w:rPr>
          <w:rFonts w:ascii="Avenir Next" w:hAnsi="Avenir Next"/>
          <w:sz w:val="24"/>
          <w:szCs w:val="24"/>
        </w:rPr>
        <w:t>” (MAC, 2013, p. 90)</w:t>
      </w:r>
      <w:r w:rsidR="007026AD" w:rsidRPr="002667B2">
        <w:rPr>
          <w:rFonts w:ascii="Avenir Next" w:hAnsi="Avenir Next"/>
          <w:sz w:val="24"/>
          <w:szCs w:val="24"/>
        </w:rPr>
        <w:t>.</w:t>
      </w:r>
    </w:p>
    <w:p w14:paraId="592BF892" w14:textId="77777777" w:rsidR="00144113" w:rsidRPr="002667B2" w:rsidRDefault="00AA5394" w:rsidP="0010251A">
      <w:pPr>
        <w:spacing w:after="200" w:line="240" w:lineRule="auto"/>
        <w:jc w:val="both"/>
        <w:rPr>
          <w:rFonts w:ascii="Avenir Next" w:hAnsi="Avenir Next"/>
          <w:sz w:val="24"/>
          <w:szCs w:val="24"/>
        </w:rPr>
      </w:pPr>
      <w:r w:rsidRPr="002667B2">
        <w:rPr>
          <w:rFonts w:ascii="Avenir Next" w:hAnsi="Avenir Next"/>
          <w:sz w:val="24"/>
          <w:szCs w:val="24"/>
        </w:rPr>
        <w:t>Como se señaló previamente</w:t>
      </w:r>
      <w:r w:rsidRPr="00DF4543">
        <w:rPr>
          <w:rFonts w:ascii="Avenir Next" w:hAnsi="Avenir Next"/>
          <w:sz w:val="24"/>
          <w:szCs w:val="24"/>
        </w:rPr>
        <w:t xml:space="preserve">, </w:t>
      </w:r>
      <w:r w:rsidR="00DF4543" w:rsidRPr="00DF4543">
        <w:rPr>
          <w:rFonts w:ascii="Avenir Next" w:hAnsi="Avenir Next"/>
          <w:sz w:val="24"/>
          <w:szCs w:val="24"/>
        </w:rPr>
        <w:t>la</w:t>
      </w:r>
      <w:r w:rsidRPr="00DF4543">
        <w:rPr>
          <w:rFonts w:ascii="Avenir Next" w:hAnsi="Avenir Next"/>
          <w:sz w:val="24"/>
          <w:szCs w:val="24"/>
        </w:rPr>
        <w:t xml:space="preserve"> imagen</w:t>
      </w:r>
      <w:r w:rsidR="00DF4543">
        <w:rPr>
          <w:rFonts w:ascii="Avenir Next" w:hAnsi="Avenir Next"/>
          <w:sz w:val="24"/>
          <w:szCs w:val="24"/>
        </w:rPr>
        <w:t xml:space="preserve"> en sus obras</w:t>
      </w:r>
      <w:r w:rsidRPr="002667B2">
        <w:rPr>
          <w:rFonts w:ascii="Avenir Next" w:hAnsi="Avenir Next"/>
          <w:sz w:val="24"/>
          <w:szCs w:val="24"/>
        </w:rPr>
        <w:t xml:space="preserve"> coincidió a cabalidad con el imaginario de la nación perfilado por los intelectuales liberales a finales del siglo XIX y por los socialdemócratas a mediados del siglo XX (</w:t>
      </w:r>
      <w:r w:rsidR="00164B95" w:rsidRPr="002667B2">
        <w:rPr>
          <w:rFonts w:ascii="Avenir Next" w:hAnsi="Avenir Next"/>
          <w:sz w:val="24"/>
          <w:szCs w:val="24"/>
        </w:rPr>
        <w:t>Zavaleta Ochoa</w:t>
      </w:r>
      <w:r w:rsidRPr="002667B2">
        <w:rPr>
          <w:rFonts w:ascii="Avenir Next" w:hAnsi="Avenir Next"/>
          <w:sz w:val="24"/>
          <w:szCs w:val="24"/>
        </w:rPr>
        <w:t xml:space="preserve">, 2004, pp. 146-147). La imagen de un pueblo sencillo, pacífico y laborioso cobró forma en los paisajes arcádicos de Fausto </w:t>
      </w:r>
      <w:r w:rsidRPr="0035716C">
        <w:rPr>
          <w:rFonts w:ascii="Avenir Next" w:hAnsi="Avenir Next"/>
          <w:sz w:val="24"/>
          <w:szCs w:val="24"/>
        </w:rPr>
        <w:t>Pacheco</w:t>
      </w:r>
      <w:r w:rsidR="0010251A" w:rsidRPr="0035716C">
        <w:rPr>
          <w:rFonts w:ascii="Avenir Next" w:hAnsi="Avenir Next"/>
          <w:sz w:val="24"/>
          <w:szCs w:val="24"/>
        </w:rPr>
        <w:t xml:space="preserve"> y </w:t>
      </w:r>
      <w:r w:rsidRPr="0035716C">
        <w:rPr>
          <w:rFonts w:ascii="Avenir Next" w:hAnsi="Avenir Next"/>
          <w:sz w:val="24"/>
          <w:szCs w:val="24"/>
        </w:rPr>
        <w:t>fue</w:t>
      </w:r>
      <w:r w:rsidRPr="002667B2">
        <w:rPr>
          <w:rFonts w:ascii="Avenir Next" w:hAnsi="Avenir Next"/>
          <w:sz w:val="24"/>
          <w:szCs w:val="24"/>
        </w:rPr>
        <w:t xml:space="preserve"> reforzado</w:t>
      </w:r>
      <w:r w:rsidR="00604264">
        <w:rPr>
          <w:rFonts w:ascii="Avenir Next" w:hAnsi="Avenir Next"/>
          <w:sz w:val="24"/>
          <w:szCs w:val="24"/>
        </w:rPr>
        <w:t xml:space="preserve"> </w:t>
      </w:r>
      <w:r w:rsidRPr="002667B2">
        <w:rPr>
          <w:rFonts w:ascii="Avenir Next" w:hAnsi="Avenir Next"/>
          <w:sz w:val="24"/>
          <w:szCs w:val="24"/>
        </w:rPr>
        <w:t>por algunos exponentes de la historiografía del arte costarricense, quienes se encargaron de legitimar a Fausto Pacheco como “el pintor del tema nacional” (Barrenechea, 1975, p.</w:t>
      </w:r>
      <w:r w:rsidR="007026AD" w:rsidRPr="002667B2">
        <w:rPr>
          <w:rFonts w:ascii="Avenir Next" w:hAnsi="Avenir Next"/>
          <w:sz w:val="24"/>
          <w:szCs w:val="24"/>
        </w:rPr>
        <w:t xml:space="preserve"> </w:t>
      </w:r>
      <w:r w:rsidRPr="002667B2">
        <w:rPr>
          <w:rFonts w:ascii="Avenir Next" w:hAnsi="Avenir Next"/>
          <w:sz w:val="24"/>
          <w:szCs w:val="24"/>
        </w:rPr>
        <w:t>78), “el creador de una imagen ideal del paisaje costarricense” (</w:t>
      </w:r>
      <w:r w:rsidRPr="00054FA2">
        <w:rPr>
          <w:rFonts w:ascii="Avenir Next" w:hAnsi="Avenir Next"/>
          <w:sz w:val="24"/>
          <w:szCs w:val="24"/>
        </w:rPr>
        <w:t>Barrionuevo</w:t>
      </w:r>
      <w:r w:rsidR="00D04B24" w:rsidRPr="00054FA2">
        <w:rPr>
          <w:rFonts w:ascii="Avenir Next" w:hAnsi="Avenir Next"/>
          <w:sz w:val="24"/>
          <w:szCs w:val="24"/>
        </w:rPr>
        <w:t xml:space="preserve"> y</w:t>
      </w:r>
      <w:r w:rsidRPr="00054FA2">
        <w:rPr>
          <w:rFonts w:ascii="Avenir Next" w:hAnsi="Avenir Next"/>
          <w:sz w:val="24"/>
          <w:szCs w:val="24"/>
        </w:rPr>
        <w:t xml:space="preserve"> Guardia,</w:t>
      </w:r>
      <w:r w:rsidRPr="002667B2">
        <w:rPr>
          <w:rFonts w:ascii="Avenir Next" w:hAnsi="Avenir Next"/>
          <w:sz w:val="24"/>
          <w:szCs w:val="24"/>
        </w:rPr>
        <w:t xml:space="preserve"> 2003a, p. 15).</w:t>
      </w:r>
    </w:p>
    <w:p w14:paraId="06EBD19C" w14:textId="77777777" w:rsidR="00144113" w:rsidRPr="002667B2" w:rsidRDefault="00604264">
      <w:pPr>
        <w:spacing w:after="200" w:line="240" w:lineRule="auto"/>
        <w:jc w:val="both"/>
        <w:rPr>
          <w:rFonts w:ascii="Avenir Next" w:hAnsi="Avenir Next"/>
          <w:sz w:val="24"/>
          <w:szCs w:val="24"/>
        </w:rPr>
      </w:pPr>
      <w:r>
        <w:rPr>
          <w:rFonts w:ascii="Avenir Next" w:hAnsi="Avenir Next"/>
          <w:sz w:val="24"/>
          <w:szCs w:val="24"/>
        </w:rPr>
        <w:t>O</w:t>
      </w:r>
      <w:r w:rsidR="00AA5394" w:rsidRPr="002667B2">
        <w:rPr>
          <w:rFonts w:ascii="Avenir Next" w:hAnsi="Avenir Next"/>
          <w:sz w:val="24"/>
          <w:szCs w:val="24"/>
        </w:rPr>
        <w:t xml:space="preserve">tras aproximaciones historiográficas han procurado dimensionar su </w:t>
      </w:r>
      <w:r w:rsidR="0010251A" w:rsidRPr="0035716C">
        <w:rPr>
          <w:rFonts w:ascii="Avenir Next" w:hAnsi="Avenir Next"/>
          <w:sz w:val="24"/>
          <w:szCs w:val="24"/>
        </w:rPr>
        <w:t>valor</w:t>
      </w:r>
      <w:r w:rsidR="00AA5394" w:rsidRPr="002667B2">
        <w:rPr>
          <w:rFonts w:ascii="Avenir Next" w:hAnsi="Avenir Next"/>
          <w:sz w:val="24"/>
          <w:szCs w:val="24"/>
        </w:rPr>
        <w:t xml:space="preserve"> desde una perspectiva que pondera su </w:t>
      </w:r>
      <w:r w:rsidR="00AA5394" w:rsidRPr="00604264">
        <w:rPr>
          <w:rFonts w:ascii="Avenir Next" w:hAnsi="Avenir Next"/>
          <w:sz w:val="24"/>
          <w:szCs w:val="24"/>
        </w:rPr>
        <w:t>capacidad</w:t>
      </w:r>
      <w:r w:rsidR="00AA5394" w:rsidRPr="002667B2">
        <w:rPr>
          <w:rFonts w:ascii="Avenir Next" w:hAnsi="Avenir Next"/>
          <w:sz w:val="24"/>
          <w:szCs w:val="24"/>
        </w:rPr>
        <w:t xml:space="preserve"> de crear imágenes poderosas en términos de su </w:t>
      </w:r>
      <w:r>
        <w:rPr>
          <w:rFonts w:ascii="Avenir Next" w:hAnsi="Avenir Next"/>
          <w:sz w:val="24"/>
          <w:szCs w:val="24"/>
        </w:rPr>
        <w:t>habilidad</w:t>
      </w:r>
      <w:r w:rsidR="00AA5394" w:rsidRPr="002667B2">
        <w:rPr>
          <w:rFonts w:ascii="Avenir Next" w:hAnsi="Avenir Next"/>
          <w:sz w:val="24"/>
          <w:szCs w:val="24"/>
        </w:rPr>
        <w:t xml:space="preserve"> de persuasión, al punto de cumplir un efecto de sustitución de la realidad a través de la representación: </w:t>
      </w:r>
    </w:p>
    <w:p w14:paraId="1FD4F59C" w14:textId="4C0770AD" w:rsidR="00144113" w:rsidRPr="00F01B03" w:rsidRDefault="00AA5394" w:rsidP="003B565C">
      <w:pPr>
        <w:spacing w:after="200" w:line="240" w:lineRule="auto"/>
        <w:ind w:left="1701"/>
        <w:jc w:val="both"/>
        <w:rPr>
          <w:rFonts w:ascii="Avenir Next" w:hAnsi="Avenir Next"/>
          <w:sz w:val="20"/>
          <w:szCs w:val="20"/>
        </w:rPr>
      </w:pPr>
      <w:r w:rsidRPr="00F01B03">
        <w:rPr>
          <w:rFonts w:ascii="Avenir Next" w:hAnsi="Avenir Next"/>
          <w:sz w:val="20"/>
          <w:szCs w:val="20"/>
        </w:rPr>
        <w:t xml:space="preserve">La casa de adobe se convierte así en un elemento atemporal, una categoría esencialista del ser costarricense que articula un ordenamiento de lo social pretendidamente natural, cuyo propósito es hacer que los sujetos desarrollen una especie de vínculo </w:t>
      </w:r>
      <w:r w:rsidRPr="00F01B03">
        <w:rPr>
          <w:rFonts w:ascii="Avenir Next" w:hAnsi="Avenir Next"/>
          <w:i/>
          <w:sz w:val="20"/>
          <w:szCs w:val="20"/>
        </w:rPr>
        <w:t>a priori</w:t>
      </w:r>
      <w:r w:rsidRPr="00F01B03">
        <w:rPr>
          <w:rFonts w:ascii="Avenir Next" w:hAnsi="Avenir Next"/>
          <w:sz w:val="20"/>
          <w:szCs w:val="20"/>
        </w:rPr>
        <w:t xml:space="preserve"> con el territorio nacional, asumiendo para sí la tipología y valores desde los cuales han sido pensados por el poder</w:t>
      </w:r>
      <w:r w:rsidR="001A2D18">
        <w:rPr>
          <w:rFonts w:ascii="Avenir Next" w:hAnsi="Avenir Next"/>
          <w:sz w:val="20"/>
          <w:szCs w:val="20"/>
        </w:rPr>
        <w:t xml:space="preserve"> </w:t>
      </w:r>
      <w:r w:rsidRPr="00F01B03">
        <w:rPr>
          <w:rFonts w:ascii="Avenir Next" w:hAnsi="Avenir Next"/>
          <w:sz w:val="20"/>
          <w:szCs w:val="20"/>
        </w:rPr>
        <w:t>… Así, el poder de estas representaciones reside en su verosimilitud, capaz de “naturalizar” las imágenes elaboradas desde la esfera hegemónica como “fieles representaciones de los elementos constitutivos del paisaje costarricense”, contribuyendo con esto, a su interiorización por parte de la población</w:t>
      </w:r>
      <w:r w:rsidR="00F01B03">
        <w:rPr>
          <w:rFonts w:ascii="Avenir Next" w:hAnsi="Avenir Next"/>
          <w:sz w:val="20"/>
          <w:szCs w:val="20"/>
        </w:rPr>
        <w:t xml:space="preserve"> </w:t>
      </w:r>
      <w:r w:rsidRPr="00F01B03">
        <w:rPr>
          <w:rFonts w:ascii="Avenir Next" w:hAnsi="Avenir Next"/>
          <w:sz w:val="20"/>
          <w:szCs w:val="20"/>
        </w:rPr>
        <w:t>(MAC, 2013, p. 89)</w:t>
      </w:r>
      <w:r w:rsidR="00E622A1">
        <w:rPr>
          <w:rFonts w:ascii="Avenir Next" w:hAnsi="Avenir Next"/>
          <w:sz w:val="20"/>
          <w:szCs w:val="20"/>
        </w:rPr>
        <w:t>.</w:t>
      </w:r>
    </w:p>
    <w:p w14:paraId="47DF3464"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lastRenderedPageBreak/>
        <w:t>Las obras de Fausto Pacheco</w:t>
      </w:r>
    </w:p>
    <w:p w14:paraId="58E9CE8C"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Aunque la obra de Fausto Pacheco comprende algunos retratos, desnudos, paisajes marinos, vistas con iglesias, trojas, carretas y puentes de piedra; no cabe la menor duda de que los paisajes protagonizados por casas de adobe constituyen el motivo central de sus trabajos. </w:t>
      </w:r>
    </w:p>
    <w:p w14:paraId="1CA5B21E"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Como el artista no tuvo la costumbre de fechar sus obras, es difícil situar en una línea de tiempo los periodos en los que se ocupó de uno u otro motivo. Sin embargo, las investigadoras Floria Barrionuevo y María Enriqueta Guardia han señalado que los retratos y los estudios de desnudos son previos a 1950 (2003a, p. 22). En el resto de sus obras, la figura humana, cuando aparece, es abordada de forma sintética, casi esbozada.</w:t>
      </w:r>
    </w:p>
    <w:p w14:paraId="1BAEF9E6"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En lo concerniente al paisaje, pese a sus exploraciones con vistas marinas y con detalles del paisaje construido -puentes, iglesias, trojas-; la casa de adobe y sus variaciones es el motivo que trabajó de forma casi obsesiva. </w:t>
      </w:r>
      <w:r w:rsidR="00FA5A56">
        <w:rPr>
          <w:rFonts w:ascii="Avenir Next" w:hAnsi="Avenir Next"/>
          <w:sz w:val="24"/>
          <w:szCs w:val="24"/>
        </w:rPr>
        <w:t>En general,</w:t>
      </w:r>
      <w:r w:rsidRPr="002667B2">
        <w:rPr>
          <w:rFonts w:ascii="Avenir Next" w:hAnsi="Avenir Next"/>
          <w:sz w:val="24"/>
          <w:szCs w:val="24"/>
        </w:rPr>
        <w:t xml:space="preserve"> la edificación se circunscribe en un espacio intermontano, ricamente poblado con arbustos y árboles, y delimitado por celajes cuidadosamente trabajados.</w:t>
      </w:r>
    </w:p>
    <w:p w14:paraId="22B5AD98"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De acuerdo con Barrionuevo y Guardia (2003a, p. 14), la relación de Fausto Pacheco con la casa de adobe se complejizó </w:t>
      </w:r>
      <w:r w:rsidR="00FA5A56">
        <w:rPr>
          <w:rFonts w:ascii="Avenir Next" w:hAnsi="Avenir Next"/>
          <w:sz w:val="24"/>
          <w:szCs w:val="24"/>
        </w:rPr>
        <w:t>poco a poco</w:t>
      </w:r>
      <w:r w:rsidRPr="002667B2">
        <w:rPr>
          <w:rFonts w:ascii="Avenir Next" w:hAnsi="Avenir Next"/>
          <w:sz w:val="24"/>
          <w:szCs w:val="24"/>
        </w:rPr>
        <w:t>. La representación de casas aisladas fue sucedida por caseríos y por interiores domésticos, en los años cuarenta. Esto se acompañó de un aumento de los formatos, una sofisticación de las perspectivas y de las composiciones, y de experimentaciones con la paleta de color y con nuevos materiales. Heredia, Escazú, Desamparados y Patarrá fueron su fuente de inspiración (Barrionuevo</w:t>
      </w:r>
      <w:r w:rsidR="00EC07CD" w:rsidRPr="002667B2">
        <w:rPr>
          <w:rFonts w:ascii="Avenir Next" w:hAnsi="Avenir Next"/>
          <w:sz w:val="24"/>
          <w:szCs w:val="24"/>
        </w:rPr>
        <w:t xml:space="preserve"> y</w:t>
      </w:r>
      <w:r w:rsidRPr="002667B2">
        <w:rPr>
          <w:rFonts w:ascii="Avenir Next" w:hAnsi="Avenir Next"/>
          <w:sz w:val="24"/>
          <w:szCs w:val="24"/>
        </w:rPr>
        <w:t xml:space="preserve"> Guardia, 2003b, pp. 15-16).</w:t>
      </w:r>
    </w:p>
    <w:p w14:paraId="2ED16D2C"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Si la casa de adobe fue el motivo predilecto de Fausto Pacheco, la luz fue el eje central de sus inquietudes plásticas y el agente articulador de la configuración de las formas, del espacio y, en general, de la composición. La pintura al aire libre y los tiempos de secado rápido de la acuarela, le permitieron estudiar el comportamiento cambiante de la luz y su incidencia en nuestra percepción de la realidad. </w:t>
      </w:r>
    </w:p>
    <w:p w14:paraId="3355F95E" w14:textId="5FD8F836" w:rsidR="00144113" w:rsidRPr="002667B2" w:rsidRDefault="00AA5394">
      <w:pPr>
        <w:spacing w:after="200" w:line="240" w:lineRule="auto"/>
        <w:jc w:val="both"/>
        <w:rPr>
          <w:rFonts w:ascii="Avenir Next" w:hAnsi="Avenir Next"/>
          <w:sz w:val="24"/>
          <w:szCs w:val="24"/>
        </w:rPr>
      </w:pPr>
      <w:r w:rsidRPr="0035716C">
        <w:rPr>
          <w:rFonts w:ascii="Avenir Next" w:hAnsi="Avenir Next"/>
          <w:sz w:val="24"/>
          <w:szCs w:val="24"/>
        </w:rPr>
        <w:t>En sus obras, la luz del trópico es resuelta cromáticamente.</w:t>
      </w:r>
      <w:r w:rsidRPr="002667B2">
        <w:rPr>
          <w:rFonts w:ascii="Avenir Next" w:hAnsi="Avenir Next"/>
          <w:sz w:val="24"/>
          <w:szCs w:val="24"/>
        </w:rPr>
        <w:t xml:space="preserve"> Los volúmenes de las formas, las sombras y los planos de profundidad fueron definidos con un rico espectro de matices y con apoyo en el empleo de colores complementarios. Su riqueza y solvencia en el manejo del color es contenido en una estructura compositiva que suele comprender un primer plano oscuro</w:t>
      </w:r>
      <w:r w:rsidR="00CC0913">
        <w:rPr>
          <w:rFonts w:ascii="Avenir Next" w:hAnsi="Avenir Next"/>
          <w:sz w:val="24"/>
          <w:szCs w:val="24"/>
        </w:rPr>
        <w:t xml:space="preserve"> </w:t>
      </w:r>
      <w:r w:rsidR="00CC0913">
        <w:rPr>
          <w:rFonts w:ascii="Times New Roman" w:hAnsi="Times New Roman" w:cs="Times New Roman"/>
          <w:sz w:val="24"/>
          <w:szCs w:val="24"/>
        </w:rPr>
        <w:t>-</w:t>
      </w:r>
      <w:r w:rsidR="00164B95">
        <w:rPr>
          <w:rFonts w:ascii="Avenir Next" w:hAnsi="Avenir Next"/>
          <w:sz w:val="24"/>
          <w:szCs w:val="24"/>
        </w:rPr>
        <w:t>comúnmente</w:t>
      </w:r>
      <w:r w:rsidRPr="002667B2">
        <w:rPr>
          <w:rFonts w:ascii="Avenir Next" w:hAnsi="Avenir Next"/>
          <w:sz w:val="24"/>
          <w:szCs w:val="24"/>
        </w:rPr>
        <w:t xml:space="preserve"> poblado de densa vegetación o de sombras púrpuras y azules-. </w:t>
      </w:r>
      <w:r w:rsidRPr="00164B95">
        <w:rPr>
          <w:rFonts w:ascii="Avenir Next" w:hAnsi="Avenir Next"/>
          <w:sz w:val="24"/>
          <w:szCs w:val="24"/>
        </w:rPr>
        <w:t>E</w:t>
      </w:r>
      <w:r w:rsidR="00164B95" w:rsidRPr="00164B95">
        <w:rPr>
          <w:rFonts w:ascii="Avenir Next" w:hAnsi="Avenir Next"/>
          <w:sz w:val="24"/>
          <w:szCs w:val="24"/>
        </w:rPr>
        <w:t>l</w:t>
      </w:r>
      <w:r w:rsidRPr="00164B95">
        <w:rPr>
          <w:rFonts w:ascii="Avenir Next" w:hAnsi="Avenir Next"/>
          <w:sz w:val="24"/>
          <w:szCs w:val="24"/>
        </w:rPr>
        <w:t xml:space="preserve"> primer plano</w:t>
      </w:r>
      <w:r w:rsidRPr="002667B2">
        <w:rPr>
          <w:rFonts w:ascii="Avenir Next" w:hAnsi="Avenir Next"/>
          <w:sz w:val="24"/>
          <w:szCs w:val="24"/>
        </w:rPr>
        <w:t xml:space="preserve"> es sucedido por otros iluminados con colores complementarios -en los que suele ubicar la casa de adobe, la troja o el puente, las montañas y un celaje amplio-. </w:t>
      </w:r>
    </w:p>
    <w:p w14:paraId="044C5076"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El tratamiento de las formas también tiene sus particularidades. Aunque la mancha de color tiene un papel protagónico, suele estar enriquecida por diversidad de matices. La pincelada suele ser muy libre, pero precisa y limpia. Por lo general, el tratamiento de los celajes se diferencia del resto de la composición porque en ellos emplea una técnica húmeda que da cuenta de su dominio técnico. </w:t>
      </w:r>
      <w:r w:rsidR="00164B95">
        <w:rPr>
          <w:rFonts w:ascii="Avenir Next" w:hAnsi="Avenir Next"/>
          <w:sz w:val="24"/>
          <w:szCs w:val="24"/>
        </w:rPr>
        <w:t>O</w:t>
      </w:r>
      <w:r w:rsidRPr="002667B2">
        <w:rPr>
          <w:rFonts w:ascii="Avenir Next" w:hAnsi="Avenir Next"/>
          <w:sz w:val="24"/>
          <w:szCs w:val="24"/>
        </w:rPr>
        <w:t>tro rasgo característico de su estilo es el uso del rojo alizarino, terracotas y cafés en su firma.</w:t>
      </w:r>
    </w:p>
    <w:p w14:paraId="7EB77304"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Fausto Pacheco creó un lenguaje propio con la técnica de la acuarela. Aunque pintó al óleo y existe conocimiento de un </w:t>
      </w:r>
      <w:r w:rsidRPr="00141C32">
        <w:rPr>
          <w:rFonts w:ascii="Avenir Next" w:hAnsi="Avenir Next"/>
          <w:i/>
          <w:iCs/>
          <w:sz w:val="24"/>
          <w:szCs w:val="24"/>
        </w:rPr>
        <w:t>collage</w:t>
      </w:r>
      <w:r w:rsidRPr="002667B2">
        <w:rPr>
          <w:rFonts w:ascii="Avenir Next" w:hAnsi="Avenir Next"/>
          <w:sz w:val="24"/>
          <w:szCs w:val="24"/>
        </w:rPr>
        <w:t xml:space="preserve"> de su autoría a finales de la década de 1940 (Barrionuevo</w:t>
      </w:r>
      <w:r w:rsidR="00EC07CD" w:rsidRPr="002667B2">
        <w:rPr>
          <w:rFonts w:ascii="Avenir Next" w:hAnsi="Avenir Next"/>
          <w:sz w:val="24"/>
          <w:szCs w:val="24"/>
        </w:rPr>
        <w:t xml:space="preserve"> y </w:t>
      </w:r>
      <w:r w:rsidRPr="002667B2">
        <w:rPr>
          <w:rFonts w:ascii="Avenir Next" w:hAnsi="Avenir Next"/>
          <w:sz w:val="24"/>
          <w:szCs w:val="24"/>
        </w:rPr>
        <w:t>Guardia, 2003b, p. 19), la acuarela fue el medio que satisfizo sus inquietudes artísticas y que dominó como pocas personas en su época.</w:t>
      </w:r>
    </w:p>
    <w:p w14:paraId="5EC44A7A" w14:textId="77777777" w:rsidR="00144113" w:rsidRPr="002667B2" w:rsidRDefault="00AA5394">
      <w:pPr>
        <w:spacing w:after="200" w:line="240" w:lineRule="auto"/>
        <w:jc w:val="both"/>
        <w:rPr>
          <w:rFonts w:ascii="Avenir Next" w:hAnsi="Avenir Next"/>
          <w:sz w:val="24"/>
          <w:szCs w:val="24"/>
        </w:rPr>
      </w:pPr>
      <w:r w:rsidRPr="00FA5A56">
        <w:rPr>
          <w:rFonts w:ascii="Avenir Next" w:hAnsi="Avenir Next"/>
          <w:sz w:val="24"/>
          <w:szCs w:val="24"/>
        </w:rPr>
        <w:lastRenderedPageBreak/>
        <w:t xml:space="preserve">Es </w:t>
      </w:r>
      <w:r w:rsidR="00FA5A56">
        <w:rPr>
          <w:rFonts w:ascii="Avenir Next" w:hAnsi="Avenir Next"/>
          <w:sz w:val="24"/>
          <w:szCs w:val="24"/>
        </w:rPr>
        <w:t>relevante</w:t>
      </w:r>
      <w:r w:rsidRPr="002667B2">
        <w:rPr>
          <w:rFonts w:ascii="Avenir Next" w:hAnsi="Avenir Next"/>
          <w:sz w:val="24"/>
          <w:szCs w:val="24"/>
        </w:rPr>
        <w:t xml:space="preserve"> señalar que en la Costa Rica de finales del siglo XIX e inicios del siglo XX la acuarela fue considerada una técnica “menor”, que se utilizaba para realizar apuntes rápidos y bocet</w:t>
      </w:r>
      <w:r w:rsidRPr="001D768C">
        <w:rPr>
          <w:rFonts w:ascii="Avenir Next" w:hAnsi="Avenir Next"/>
          <w:sz w:val="24"/>
          <w:szCs w:val="24"/>
        </w:rPr>
        <w:t xml:space="preserve">ar. </w:t>
      </w:r>
      <w:r w:rsidR="00BB3447" w:rsidRPr="001D768C">
        <w:rPr>
          <w:rFonts w:ascii="Avenir Next" w:hAnsi="Avenir Next"/>
          <w:sz w:val="24"/>
          <w:szCs w:val="24"/>
        </w:rPr>
        <w:t xml:space="preserve">Sin embargo, </w:t>
      </w:r>
      <w:r w:rsidRPr="001D768C">
        <w:rPr>
          <w:rFonts w:ascii="Avenir Next" w:hAnsi="Avenir Next"/>
          <w:sz w:val="24"/>
          <w:szCs w:val="24"/>
        </w:rPr>
        <w:t>la reforma curricular que Teodorico Quirós</w:t>
      </w:r>
      <w:r w:rsidRPr="002667B2">
        <w:rPr>
          <w:rFonts w:ascii="Avenir Next" w:hAnsi="Avenir Next"/>
          <w:sz w:val="24"/>
          <w:szCs w:val="24"/>
        </w:rPr>
        <w:t xml:space="preserve"> realizó en la Escuela de Artes Plásticas de la Universidad de Costa Rica a partir de 1942, incluyendo la acuarela y la pintura al aire libre como parte del plan de estudios (Alvarado</w:t>
      </w:r>
      <w:r w:rsidR="00EC07CD" w:rsidRPr="002667B2">
        <w:rPr>
          <w:rFonts w:ascii="Avenir Next" w:hAnsi="Avenir Next"/>
          <w:sz w:val="24"/>
          <w:szCs w:val="24"/>
        </w:rPr>
        <w:t xml:space="preserve"> y </w:t>
      </w:r>
      <w:r w:rsidRPr="002667B2">
        <w:rPr>
          <w:rFonts w:ascii="Avenir Next" w:hAnsi="Avenir Next"/>
          <w:sz w:val="24"/>
          <w:szCs w:val="24"/>
        </w:rPr>
        <w:t>Guardia, 2005, p. 25)</w:t>
      </w:r>
      <w:r w:rsidR="00BB3447">
        <w:rPr>
          <w:rFonts w:ascii="Avenir Next" w:hAnsi="Avenir Next"/>
          <w:sz w:val="24"/>
          <w:szCs w:val="24"/>
        </w:rPr>
        <w:t xml:space="preserve"> </w:t>
      </w:r>
      <w:r w:rsidR="00BB3447" w:rsidRPr="001D768C">
        <w:rPr>
          <w:rFonts w:ascii="Avenir Next" w:hAnsi="Avenir Next"/>
          <w:sz w:val="24"/>
          <w:szCs w:val="24"/>
        </w:rPr>
        <w:t>cambió el parecer</w:t>
      </w:r>
      <w:r w:rsidRPr="001D768C">
        <w:rPr>
          <w:rFonts w:ascii="Avenir Next" w:hAnsi="Avenir Next"/>
          <w:sz w:val="24"/>
          <w:szCs w:val="24"/>
        </w:rPr>
        <w:t>.</w:t>
      </w:r>
      <w:r w:rsidRPr="002667B2">
        <w:rPr>
          <w:rFonts w:ascii="Avenir Next" w:hAnsi="Avenir Next"/>
          <w:sz w:val="24"/>
          <w:szCs w:val="24"/>
        </w:rPr>
        <w:t xml:space="preserve"> La experiencia y el conocimiento que Fausto Pacheco había desarrollado acerca de </w:t>
      </w:r>
      <w:r w:rsidR="00151995" w:rsidRPr="00151995">
        <w:rPr>
          <w:rFonts w:ascii="Avenir Next" w:hAnsi="Avenir Next"/>
          <w:sz w:val="24"/>
          <w:szCs w:val="24"/>
        </w:rPr>
        <w:t>la</w:t>
      </w:r>
      <w:r w:rsidRPr="00151995">
        <w:rPr>
          <w:rFonts w:ascii="Avenir Next" w:hAnsi="Avenir Next"/>
          <w:sz w:val="24"/>
          <w:szCs w:val="24"/>
        </w:rPr>
        <w:t xml:space="preserve"> técnica</w:t>
      </w:r>
      <w:r w:rsidRPr="002667B2">
        <w:rPr>
          <w:rFonts w:ascii="Avenir Next" w:hAnsi="Avenir Next"/>
          <w:sz w:val="24"/>
          <w:szCs w:val="24"/>
        </w:rPr>
        <w:t xml:space="preserve"> para ese momento, quedó patentada en su nombramiento como el primer profesor del curso.</w:t>
      </w:r>
    </w:p>
    <w:p w14:paraId="2B6A050F"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A diferencia de otros medios pictóricos, la acuarela es una técnica que emplea como diluyente el agua. </w:t>
      </w:r>
      <w:r w:rsidR="00151995">
        <w:rPr>
          <w:rFonts w:ascii="Avenir Next" w:hAnsi="Avenir Next"/>
          <w:sz w:val="24"/>
          <w:szCs w:val="24"/>
        </w:rPr>
        <w:t>Lo anterior,</w:t>
      </w:r>
      <w:r w:rsidRPr="002667B2">
        <w:rPr>
          <w:rFonts w:ascii="Avenir Next" w:hAnsi="Avenir Next"/>
          <w:sz w:val="24"/>
          <w:szCs w:val="24"/>
        </w:rPr>
        <w:t xml:space="preserve"> hace de ella un procedimiento complejo que amerita conocimientos, experiencia y destrezas para controlar la fluidez y el espesor de la pintura, los tiempos de secado de las capas de color y del papel, así como planificar las reservas en el soporte para la generación de luces y de formas (a diferencia de otras técnicas pictóricas, en la acuarela se trabaja desde lo que tiene más luz hacia lo más oscuro</w:t>
      </w:r>
      <w:r w:rsidR="001D768C">
        <w:rPr>
          <w:rFonts w:ascii="Avenir Next" w:hAnsi="Avenir Next"/>
          <w:sz w:val="24"/>
          <w:szCs w:val="24"/>
        </w:rPr>
        <w:t>)</w:t>
      </w:r>
      <w:r w:rsidRPr="002667B2">
        <w:rPr>
          <w:rFonts w:ascii="Avenir Next" w:hAnsi="Avenir Next"/>
          <w:sz w:val="24"/>
          <w:szCs w:val="24"/>
        </w:rPr>
        <w:t>. Las correcciones a base de a</w:t>
      </w:r>
      <w:r w:rsidR="001D768C">
        <w:rPr>
          <w:rFonts w:ascii="Avenir Next" w:hAnsi="Avenir Next"/>
          <w:sz w:val="24"/>
          <w:szCs w:val="24"/>
        </w:rPr>
        <w:t>dición de color no son posibles</w:t>
      </w:r>
      <w:r w:rsidRPr="002667B2">
        <w:rPr>
          <w:rFonts w:ascii="Avenir Next" w:hAnsi="Avenir Next"/>
          <w:sz w:val="24"/>
          <w:szCs w:val="24"/>
        </w:rPr>
        <w:t>.</w:t>
      </w:r>
    </w:p>
    <w:p w14:paraId="1D50E904"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Para la década de los años cuarenta las obras de Fausto Pacheco evidencian una madurez técnica que se caracteriza por su intensidad cromática, la abundancia de veladuras y el control de la mancha (Alvarado</w:t>
      </w:r>
      <w:r w:rsidR="007A6EBB" w:rsidRPr="002667B2">
        <w:rPr>
          <w:rFonts w:ascii="Avenir Next" w:hAnsi="Avenir Next"/>
          <w:sz w:val="24"/>
          <w:szCs w:val="24"/>
        </w:rPr>
        <w:t xml:space="preserve"> y</w:t>
      </w:r>
      <w:r w:rsidRPr="002667B2">
        <w:rPr>
          <w:rFonts w:ascii="Avenir Next" w:hAnsi="Avenir Next"/>
          <w:sz w:val="24"/>
          <w:szCs w:val="24"/>
        </w:rPr>
        <w:t xml:space="preserve"> Guardia, 2005, p. 24). </w:t>
      </w:r>
      <w:r w:rsidRPr="001D768C">
        <w:rPr>
          <w:rFonts w:ascii="Avenir Next" w:hAnsi="Avenir Next"/>
          <w:sz w:val="24"/>
          <w:szCs w:val="24"/>
        </w:rPr>
        <w:t>Ahora bien, este</w:t>
      </w:r>
      <w:r w:rsidRPr="002667B2">
        <w:rPr>
          <w:rFonts w:ascii="Avenir Next" w:hAnsi="Avenir Next"/>
          <w:sz w:val="24"/>
          <w:szCs w:val="24"/>
        </w:rPr>
        <w:t xml:space="preserve"> no fue un estándar regular a lo largo de su vida. De acuerdo con la historia oral, las carencias económicas y el padecimiento del alcoholismo contribuyeron a que, cada vez con mayor frecuencia, Fausto Pacheco desatendiera el control de calidad de sus obras, e inclusive, dejara de trabajar al aire libre acudiendo al empleo de la memoria y de fórmulas </w:t>
      </w:r>
      <w:r w:rsidRPr="001D768C">
        <w:rPr>
          <w:rFonts w:ascii="Avenir Next" w:hAnsi="Avenir Next"/>
          <w:sz w:val="24"/>
          <w:szCs w:val="24"/>
        </w:rPr>
        <w:t>preestablecidas</w:t>
      </w:r>
      <w:r w:rsidR="00796B5B" w:rsidRPr="001D768C">
        <w:rPr>
          <w:rFonts w:ascii="Avenir Next" w:hAnsi="Avenir Next"/>
          <w:sz w:val="24"/>
          <w:szCs w:val="24"/>
        </w:rPr>
        <w:t>;</w:t>
      </w:r>
      <w:r w:rsidRPr="001D768C">
        <w:rPr>
          <w:rFonts w:ascii="Avenir Next" w:hAnsi="Avenir Next"/>
          <w:sz w:val="24"/>
          <w:szCs w:val="24"/>
        </w:rPr>
        <w:t xml:space="preserve"> deriva</w:t>
      </w:r>
      <w:r w:rsidR="00796B5B" w:rsidRPr="001D768C">
        <w:rPr>
          <w:rFonts w:ascii="Avenir Next" w:hAnsi="Avenir Next"/>
          <w:sz w:val="24"/>
          <w:szCs w:val="24"/>
        </w:rPr>
        <w:t>nd</w:t>
      </w:r>
      <w:r w:rsidRPr="001D768C">
        <w:rPr>
          <w:rFonts w:ascii="Avenir Next" w:hAnsi="Avenir Next"/>
          <w:sz w:val="24"/>
          <w:szCs w:val="24"/>
        </w:rPr>
        <w:t>o</w:t>
      </w:r>
      <w:r w:rsidRPr="002667B2">
        <w:rPr>
          <w:rFonts w:ascii="Avenir Next" w:hAnsi="Avenir Next"/>
          <w:sz w:val="24"/>
          <w:szCs w:val="24"/>
        </w:rPr>
        <w:t xml:space="preserve"> en un empobrecimiento técnico que Ileana Alvarado y María Enriqueta Guardia describen en los siguientes términos:</w:t>
      </w:r>
      <w:r w:rsidR="00803745">
        <w:rPr>
          <w:rFonts w:ascii="Avenir Next" w:hAnsi="Avenir Next"/>
          <w:sz w:val="24"/>
          <w:szCs w:val="24"/>
        </w:rPr>
        <w:t xml:space="preserve"> “</w:t>
      </w:r>
      <w:r w:rsidR="00803745">
        <w:rPr>
          <w:rFonts w:ascii="Times New Roman" w:hAnsi="Times New Roman" w:cs="Times New Roman"/>
          <w:sz w:val="24"/>
          <w:szCs w:val="24"/>
        </w:rPr>
        <w:t>[</w:t>
      </w:r>
      <w:r w:rsidR="00803745">
        <w:rPr>
          <w:rFonts w:ascii="Avenir Next" w:hAnsi="Avenir Next"/>
          <w:sz w:val="24"/>
          <w:szCs w:val="24"/>
        </w:rPr>
        <w:t>…</w:t>
      </w:r>
      <w:r w:rsidR="00803745">
        <w:rPr>
          <w:rFonts w:ascii="Times New Roman" w:hAnsi="Times New Roman" w:cs="Times New Roman"/>
          <w:sz w:val="24"/>
          <w:szCs w:val="24"/>
        </w:rPr>
        <w:t>]</w:t>
      </w:r>
      <w:r w:rsidRPr="002667B2">
        <w:rPr>
          <w:rFonts w:ascii="Avenir Next" w:hAnsi="Avenir Next"/>
          <w:sz w:val="24"/>
          <w:szCs w:val="24"/>
        </w:rPr>
        <w:t xml:space="preserve"> la factura era más suelta que al inicio y se torna más rápida, acuosa, simplificada y reducida la paleta.” (Alvarado</w:t>
      </w:r>
      <w:r w:rsidR="007A6EBB" w:rsidRPr="002667B2">
        <w:rPr>
          <w:rFonts w:ascii="Avenir Next" w:hAnsi="Avenir Next"/>
          <w:sz w:val="24"/>
          <w:szCs w:val="24"/>
        </w:rPr>
        <w:t xml:space="preserve"> y</w:t>
      </w:r>
      <w:r w:rsidRPr="002667B2">
        <w:rPr>
          <w:rFonts w:ascii="Avenir Next" w:hAnsi="Avenir Next"/>
          <w:sz w:val="24"/>
          <w:szCs w:val="24"/>
        </w:rPr>
        <w:t xml:space="preserve"> Guardia, 2005, p. 24).</w:t>
      </w:r>
    </w:p>
    <w:p w14:paraId="44080CC1"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La irregularidad en la calidad de sus obras, sumada al hecho de que no fuera su costumbre fecharlas, son aspectos que dificultan la periodización de su trabajo y, no menos </w:t>
      </w:r>
      <w:r w:rsidR="00BA64EF">
        <w:rPr>
          <w:rFonts w:ascii="Avenir Next" w:hAnsi="Avenir Next"/>
          <w:sz w:val="24"/>
          <w:szCs w:val="24"/>
        </w:rPr>
        <w:t>crucial</w:t>
      </w:r>
      <w:r w:rsidRPr="002667B2">
        <w:rPr>
          <w:rFonts w:ascii="Avenir Next" w:hAnsi="Avenir Next"/>
          <w:sz w:val="24"/>
          <w:szCs w:val="24"/>
        </w:rPr>
        <w:t xml:space="preserve">, el establecimiento de criterios para la autenticación de sus obras. </w:t>
      </w:r>
      <w:r w:rsidRPr="001D768C">
        <w:rPr>
          <w:rFonts w:ascii="Avenir Next" w:hAnsi="Avenir Next"/>
          <w:sz w:val="24"/>
          <w:szCs w:val="24"/>
        </w:rPr>
        <w:t>Este último factor</w:t>
      </w:r>
      <w:r w:rsidRPr="002667B2">
        <w:rPr>
          <w:rFonts w:ascii="Avenir Next" w:hAnsi="Avenir Next"/>
          <w:sz w:val="24"/>
          <w:szCs w:val="24"/>
        </w:rPr>
        <w:t xml:space="preserve"> es relevante porque el aprecio que la obra de Fausto Pacheco suscitó, dio lugar a un fenómeno de falsificación </w:t>
      </w:r>
      <w:r w:rsidR="00BA64EF">
        <w:rPr>
          <w:rFonts w:ascii="Avenir Next" w:hAnsi="Avenir Next"/>
          <w:sz w:val="24"/>
          <w:szCs w:val="24"/>
        </w:rPr>
        <w:t>notable,</w:t>
      </w:r>
      <w:r w:rsidRPr="002667B2">
        <w:rPr>
          <w:rFonts w:ascii="Avenir Next" w:hAnsi="Avenir Next"/>
          <w:sz w:val="24"/>
          <w:szCs w:val="24"/>
        </w:rPr>
        <w:t xml:space="preserve"> que hasta la fecha no se ha podido contrarrestar con criterios de autenticación precisos.</w:t>
      </w:r>
    </w:p>
    <w:p w14:paraId="03DE1AD7"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t>Metodología</w:t>
      </w:r>
    </w:p>
    <w:p w14:paraId="3393B4A4" w14:textId="565C2FC0" w:rsidR="00D90563" w:rsidRPr="002667B2" w:rsidRDefault="00B77FB9">
      <w:pPr>
        <w:spacing w:after="200" w:line="240" w:lineRule="auto"/>
        <w:jc w:val="both"/>
        <w:rPr>
          <w:rFonts w:ascii="Avenir Next" w:hAnsi="Avenir Next"/>
          <w:sz w:val="24"/>
          <w:szCs w:val="24"/>
        </w:rPr>
      </w:pPr>
      <w:r w:rsidRPr="00AB63AD">
        <w:rPr>
          <w:rFonts w:ascii="Avenir Next" w:hAnsi="Avenir Next"/>
          <w:sz w:val="24"/>
          <w:szCs w:val="24"/>
        </w:rPr>
        <w:t xml:space="preserve">El primer aspecto que se considera es </w:t>
      </w:r>
      <w:r w:rsidR="00AA5394" w:rsidRPr="00AB63AD">
        <w:rPr>
          <w:rFonts w:ascii="Avenir Next" w:hAnsi="Avenir Next"/>
          <w:sz w:val="24"/>
          <w:szCs w:val="24"/>
        </w:rPr>
        <w:t>la selección de las obras utilizadas en la investigación y sus características</w:t>
      </w:r>
      <w:r w:rsidRPr="00AB63AD">
        <w:rPr>
          <w:rFonts w:ascii="Avenir Next" w:hAnsi="Avenir Next"/>
          <w:sz w:val="24"/>
          <w:szCs w:val="24"/>
        </w:rPr>
        <w:t xml:space="preserve">; </w:t>
      </w:r>
      <w:r w:rsidR="00367CB9" w:rsidRPr="00AB63AD">
        <w:rPr>
          <w:rFonts w:ascii="Avenir Next" w:hAnsi="Avenir Next"/>
          <w:sz w:val="24"/>
          <w:szCs w:val="24"/>
        </w:rPr>
        <w:t xml:space="preserve">se continúa con </w:t>
      </w:r>
      <w:r w:rsidR="00AA5394" w:rsidRPr="00AB63AD">
        <w:rPr>
          <w:rFonts w:ascii="Avenir Next" w:hAnsi="Avenir Next"/>
          <w:sz w:val="24"/>
          <w:szCs w:val="24"/>
        </w:rPr>
        <w:t>la metodología empleada para la captura de las fotografías en alta resolución</w:t>
      </w:r>
      <w:r w:rsidR="00367CB9" w:rsidRPr="00AB63AD">
        <w:rPr>
          <w:rFonts w:ascii="Avenir Next" w:hAnsi="Avenir Next"/>
          <w:sz w:val="24"/>
          <w:szCs w:val="24"/>
        </w:rPr>
        <w:t xml:space="preserve">, además se </w:t>
      </w:r>
      <w:r w:rsidR="00846D40" w:rsidRPr="00AB63AD">
        <w:rPr>
          <w:rFonts w:ascii="Avenir Next" w:hAnsi="Avenir Next"/>
          <w:sz w:val="24"/>
          <w:szCs w:val="24"/>
        </w:rPr>
        <w:t>explicita</w:t>
      </w:r>
      <w:r w:rsidR="00367CB9" w:rsidRPr="00AB63AD">
        <w:rPr>
          <w:rFonts w:ascii="Avenir Next" w:hAnsi="Avenir Next"/>
          <w:sz w:val="24"/>
          <w:szCs w:val="24"/>
        </w:rPr>
        <w:t xml:space="preserve">n </w:t>
      </w:r>
      <w:r w:rsidR="00AA5394" w:rsidRPr="00AB63AD">
        <w:rPr>
          <w:rFonts w:ascii="Avenir Next" w:hAnsi="Avenir Next"/>
          <w:sz w:val="24"/>
          <w:szCs w:val="24"/>
        </w:rPr>
        <w:t xml:space="preserve">las herramientas computacionales para llevar a cabo nuestro estudio. </w:t>
      </w:r>
      <w:r w:rsidR="00BA64EF" w:rsidRPr="00AB63AD">
        <w:rPr>
          <w:rFonts w:ascii="Avenir Next" w:hAnsi="Avenir Next"/>
          <w:sz w:val="24"/>
          <w:szCs w:val="24"/>
        </w:rPr>
        <w:t>Por último</w:t>
      </w:r>
      <w:r w:rsidR="00AA5394" w:rsidRPr="00AB63AD">
        <w:rPr>
          <w:rFonts w:ascii="Avenir Next" w:hAnsi="Avenir Next"/>
          <w:sz w:val="24"/>
          <w:szCs w:val="24"/>
        </w:rPr>
        <w:t xml:space="preserve">, se describe la metodología </w:t>
      </w:r>
      <w:r w:rsidR="00846D40" w:rsidRPr="00AB63AD">
        <w:rPr>
          <w:rFonts w:ascii="Avenir Next" w:hAnsi="Avenir Next"/>
          <w:sz w:val="24"/>
          <w:szCs w:val="24"/>
        </w:rPr>
        <w:t>utilizada</w:t>
      </w:r>
      <w:r w:rsidR="00AA5394" w:rsidRPr="00AB63AD">
        <w:rPr>
          <w:rFonts w:ascii="Avenir Next" w:hAnsi="Avenir Next"/>
          <w:sz w:val="24"/>
          <w:szCs w:val="24"/>
        </w:rPr>
        <w:t xml:space="preserve"> para identificar el biodeterioro en las obras.</w:t>
      </w:r>
    </w:p>
    <w:p w14:paraId="0B390DD8"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t xml:space="preserve">Selección de obras </w:t>
      </w:r>
    </w:p>
    <w:p w14:paraId="26D4C241" w14:textId="121ECF82"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En la colección de arte del Banco Central de Costa Rica existen siete acuarelas atribuidas a Fausto Pacheco. Aunque a lo largo de los años diversos especialistas en materia artística han expresado reservas </w:t>
      </w:r>
      <w:r w:rsidR="001D1352">
        <w:rPr>
          <w:rFonts w:ascii="Avenir Next" w:hAnsi="Avenir Next"/>
          <w:sz w:val="24"/>
          <w:szCs w:val="24"/>
        </w:rPr>
        <w:t>sobre</w:t>
      </w:r>
      <w:r w:rsidRPr="002667B2">
        <w:rPr>
          <w:rFonts w:ascii="Avenir Next" w:hAnsi="Avenir Next"/>
          <w:sz w:val="24"/>
          <w:szCs w:val="24"/>
        </w:rPr>
        <w:t xml:space="preserve"> la autenticidad de algunas de </w:t>
      </w:r>
      <w:r w:rsidR="003F5BC4" w:rsidRPr="003F5BC4">
        <w:rPr>
          <w:rFonts w:ascii="Avenir Next" w:hAnsi="Avenir Next"/>
          <w:sz w:val="24"/>
          <w:szCs w:val="24"/>
        </w:rPr>
        <w:t>las</w:t>
      </w:r>
      <w:r w:rsidRPr="003F5BC4">
        <w:rPr>
          <w:rFonts w:ascii="Avenir Next" w:hAnsi="Avenir Next"/>
          <w:sz w:val="24"/>
          <w:szCs w:val="24"/>
        </w:rPr>
        <w:t xml:space="preserve"> obras</w:t>
      </w:r>
      <w:r w:rsidRPr="002667B2">
        <w:rPr>
          <w:rFonts w:ascii="Avenir Next" w:hAnsi="Avenir Next"/>
          <w:sz w:val="24"/>
          <w:szCs w:val="24"/>
        </w:rPr>
        <w:t xml:space="preserve">, no siempre han existido coincidencias en sus criterios. </w:t>
      </w:r>
      <w:r w:rsidR="003F5BC4">
        <w:rPr>
          <w:rFonts w:ascii="Avenir Next" w:hAnsi="Avenir Next"/>
          <w:sz w:val="24"/>
          <w:szCs w:val="24"/>
        </w:rPr>
        <w:t xml:space="preserve">De acuerdo </w:t>
      </w:r>
      <w:r w:rsidR="00F34DC3">
        <w:rPr>
          <w:rFonts w:ascii="Avenir Next" w:hAnsi="Avenir Next"/>
          <w:sz w:val="24"/>
          <w:szCs w:val="24"/>
        </w:rPr>
        <w:t>con</w:t>
      </w:r>
      <w:r w:rsidR="003F5BC4">
        <w:rPr>
          <w:rFonts w:ascii="Avenir Next" w:hAnsi="Avenir Next"/>
          <w:sz w:val="24"/>
          <w:szCs w:val="24"/>
        </w:rPr>
        <w:t xml:space="preserve"> lo mencionado, se</w:t>
      </w:r>
      <w:r w:rsidRPr="002667B2">
        <w:rPr>
          <w:rFonts w:ascii="Avenir Next" w:hAnsi="Avenir Next"/>
          <w:sz w:val="24"/>
          <w:szCs w:val="24"/>
        </w:rPr>
        <w:t xml:space="preserve"> estableció la necesidad de complementar </w:t>
      </w:r>
      <w:r w:rsidRPr="003F5BC4">
        <w:rPr>
          <w:rFonts w:ascii="Avenir Next" w:hAnsi="Avenir Next"/>
          <w:sz w:val="24"/>
          <w:szCs w:val="24"/>
        </w:rPr>
        <w:t>criterios técnicos</w:t>
      </w:r>
      <w:r w:rsidRPr="002667B2">
        <w:rPr>
          <w:rFonts w:ascii="Avenir Next" w:hAnsi="Avenir Next"/>
          <w:sz w:val="24"/>
          <w:szCs w:val="24"/>
        </w:rPr>
        <w:t xml:space="preserve">, con información susceptible de análisis </w:t>
      </w:r>
      <w:r w:rsidR="0003359F">
        <w:rPr>
          <w:rFonts w:ascii="Avenir Next" w:hAnsi="Avenir Next"/>
          <w:sz w:val="24"/>
          <w:szCs w:val="24"/>
        </w:rPr>
        <w:t>sistemáticos y</w:t>
      </w:r>
      <w:r w:rsidRPr="002667B2">
        <w:rPr>
          <w:rFonts w:ascii="Avenir Next" w:hAnsi="Avenir Next"/>
          <w:sz w:val="24"/>
          <w:szCs w:val="24"/>
        </w:rPr>
        <w:t xml:space="preserve"> </w:t>
      </w:r>
      <w:r w:rsidRPr="0003359F">
        <w:rPr>
          <w:rFonts w:ascii="Avenir Next" w:hAnsi="Avenir Next"/>
          <w:sz w:val="24"/>
          <w:szCs w:val="24"/>
        </w:rPr>
        <w:t xml:space="preserve">concluyentes. Por </w:t>
      </w:r>
      <w:r w:rsidR="00796B5B" w:rsidRPr="0003359F">
        <w:rPr>
          <w:rFonts w:ascii="Avenir Next" w:hAnsi="Avenir Next"/>
          <w:sz w:val="24"/>
          <w:szCs w:val="24"/>
        </w:rPr>
        <w:t>lo tanto</w:t>
      </w:r>
      <w:r w:rsidRPr="0003359F">
        <w:rPr>
          <w:rFonts w:ascii="Avenir Next" w:hAnsi="Avenir Next"/>
          <w:sz w:val="24"/>
          <w:szCs w:val="24"/>
        </w:rPr>
        <w:t>,</w:t>
      </w:r>
      <w:r w:rsidRPr="002667B2">
        <w:rPr>
          <w:rFonts w:ascii="Avenir Next" w:hAnsi="Avenir Next"/>
          <w:sz w:val="24"/>
          <w:szCs w:val="24"/>
        </w:rPr>
        <w:t xml:space="preserve"> se inició un proceso de investigación exploratorio que, con un enfoque científico multianalítico </w:t>
      </w:r>
      <w:r w:rsidRPr="002667B2">
        <w:rPr>
          <w:rFonts w:ascii="Avenir Next" w:hAnsi="Avenir Next"/>
          <w:sz w:val="24"/>
          <w:szCs w:val="24"/>
        </w:rPr>
        <w:lastRenderedPageBreak/>
        <w:t xml:space="preserve">permitiera </w:t>
      </w:r>
      <w:r w:rsidRPr="003F5BC4">
        <w:rPr>
          <w:rFonts w:ascii="Avenir Next" w:hAnsi="Avenir Next"/>
          <w:sz w:val="24"/>
          <w:szCs w:val="24"/>
        </w:rPr>
        <w:t>establecer</w:t>
      </w:r>
      <w:r w:rsidRPr="002667B2">
        <w:rPr>
          <w:rFonts w:ascii="Avenir Next" w:hAnsi="Avenir Next"/>
          <w:sz w:val="24"/>
          <w:szCs w:val="24"/>
        </w:rPr>
        <w:t xml:space="preserve"> otros elementos de juicio a través de los cuales </w:t>
      </w:r>
      <w:r w:rsidR="003F5BC4">
        <w:rPr>
          <w:rFonts w:ascii="Avenir Next" w:hAnsi="Avenir Next"/>
          <w:sz w:val="24"/>
          <w:szCs w:val="24"/>
        </w:rPr>
        <w:t>se pudiera instaurar</w:t>
      </w:r>
      <w:r w:rsidRPr="002667B2">
        <w:rPr>
          <w:rFonts w:ascii="Avenir Next" w:hAnsi="Avenir Next"/>
          <w:sz w:val="24"/>
          <w:szCs w:val="24"/>
        </w:rPr>
        <w:t xml:space="preserve"> indicadores para determinar la autenticidad de las obras atribuidas a Fausto Pacheco.</w:t>
      </w:r>
    </w:p>
    <w:p w14:paraId="75C3EACE" w14:textId="154EBE1F" w:rsidR="001C706B" w:rsidRPr="000212F7" w:rsidRDefault="00AA5394" w:rsidP="000212F7">
      <w:pPr>
        <w:spacing w:after="200" w:line="240" w:lineRule="auto"/>
        <w:jc w:val="both"/>
        <w:rPr>
          <w:rFonts w:ascii="Avenir Next" w:hAnsi="Avenir Next"/>
          <w:sz w:val="24"/>
          <w:szCs w:val="24"/>
        </w:rPr>
      </w:pPr>
      <w:r w:rsidRPr="002667B2">
        <w:rPr>
          <w:rFonts w:ascii="Avenir Next" w:hAnsi="Avenir Next"/>
          <w:sz w:val="24"/>
          <w:szCs w:val="24"/>
        </w:rPr>
        <w:t xml:space="preserve">Para iniciar </w:t>
      </w:r>
      <w:r w:rsidR="003F5BC4">
        <w:rPr>
          <w:rFonts w:ascii="Avenir Next" w:hAnsi="Avenir Next"/>
          <w:sz w:val="24"/>
          <w:szCs w:val="24"/>
        </w:rPr>
        <w:t>el estudio</w:t>
      </w:r>
      <w:r w:rsidRPr="002667B2">
        <w:rPr>
          <w:rFonts w:ascii="Avenir Next" w:hAnsi="Avenir Next"/>
          <w:sz w:val="24"/>
          <w:szCs w:val="24"/>
        </w:rPr>
        <w:t xml:space="preserve"> se escogieron dos acuarelas (ver figura 2) de la colección del Banco Central de Costa Rica: </w:t>
      </w:r>
      <w:r w:rsidRPr="002667B2">
        <w:rPr>
          <w:rFonts w:ascii="Avenir Next" w:hAnsi="Avenir Next"/>
          <w:i/>
          <w:sz w:val="24"/>
          <w:szCs w:val="24"/>
        </w:rPr>
        <w:t>Paisaje con casa campesina</w:t>
      </w:r>
      <w:r w:rsidRPr="002667B2">
        <w:rPr>
          <w:rFonts w:ascii="Avenir Next" w:hAnsi="Avenir Next"/>
          <w:sz w:val="24"/>
          <w:szCs w:val="24"/>
        </w:rPr>
        <w:t xml:space="preserve"> y</w:t>
      </w:r>
      <w:r w:rsidR="003F5BC4">
        <w:rPr>
          <w:rFonts w:ascii="Avenir Next" w:hAnsi="Avenir Next"/>
          <w:sz w:val="24"/>
          <w:szCs w:val="24"/>
        </w:rPr>
        <w:t xml:space="preserve"> </w:t>
      </w:r>
      <w:r w:rsidRPr="002667B2">
        <w:rPr>
          <w:rFonts w:ascii="Avenir Next" w:hAnsi="Avenir Next"/>
          <w:i/>
          <w:sz w:val="24"/>
          <w:szCs w:val="24"/>
        </w:rPr>
        <w:t>El puente</w:t>
      </w:r>
      <w:r w:rsidRPr="002667B2">
        <w:rPr>
          <w:rFonts w:ascii="Avenir Next" w:hAnsi="Avenir Next"/>
          <w:sz w:val="24"/>
          <w:szCs w:val="24"/>
        </w:rPr>
        <w:t xml:space="preserve">. </w:t>
      </w:r>
      <w:r w:rsidR="00796B5B" w:rsidRPr="0003359F">
        <w:rPr>
          <w:rFonts w:ascii="Avenir Next" w:hAnsi="Avenir Next"/>
          <w:sz w:val="24"/>
          <w:szCs w:val="24"/>
        </w:rPr>
        <w:t>Su selección</w:t>
      </w:r>
      <w:r w:rsidRPr="002667B2">
        <w:rPr>
          <w:rFonts w:ascii="Avenir Next" w:hAnsi="Avenir Next"/>
          <w:sz w:val="24"/>
          <w:szCs w:val="24"/>
        </w:rPr>
        <w:t xml:space="preserve"> se sustentó en criterios esenciales en cualquier proceso de autentificación: las características estilísticas y técnicas. Esto, -hay que hacer la salvedad-, con plena conciencia de que debido a la irregularidad que caracterizó el trabajo del artista, la mejor o menor resolución </w:t>
      </w:r>
      <w:r w:rsidRPr="0003359F">
        <w:rPr>
          <w:rFonts w:ascii="Avenir Next" w:hAnsi="Avenir Next"/>
          <w:sz w:val="24"/>
          <w:szCs w:val="24"/>
        </w:rPr>
        <w:t>de estos aspectos</w:t>
      </w:r>
      <w:r w:rsidRPr="002667B2">
        <w:rPr>
          <w:rFonts w:ascii="Avenir Next" w:hAnsi="Avenir Next"/>
          <w:sz w:val="24"/>
          <w:szCs w:val="24"/>
        </w:rPr>
        <w:t xml:space="preserve"> </w:t>
      </w:r>
      <w:r w:rsidR="003F5BC4">
        <w:rPr>
          <w:rFonts w:ascii="Avenir Next" w:hAnsi="Avenir Next"/>
          <w:sz w:val="24"/>
          <w:szCs w:val="24"/>
        </w:rPr>
        <w:t>por fuerza no</w:t>
      </w:r>
      <w:r w:rsidRPr="002667B2">
        <w:rPr>
          <w:rFonts w:ascii="Avenir Next" w:hAnsi="Avenir Next"/>
          <w:sz w:val="24"/>
          <w:szCs w:val="24"/>
        </w:rPr>
        <w:t xml:space="preserve"> constituye un indicador determinante.</w:t>
      </w:r>
    </w:p>
    <w:p w14:paraId="5755BE06" w14:textId="77777777" w:rsidR="00D92F0A" w:rsidRDefault="00AA5394">
      <w:pPr>
        <w:spacing w:after="200" w:line="240" w:lineRule="auto"/>
        <w:jc w:val="center"/>
        <w:rPr>
          <w:rFonts w:ascii="Avenir Next" w:hAnsi="Avenir Next"/>
        </w:rPr>
      </w:pPr>
      <w:r w:rsidRPr="002667B2">
        <w:rPr>
          <w:rFonts w:ascii="Avenir Next" w:hAnsi="Avenir Next"/>
          <w:b/>
        </w:rPr>
        <w:t>Figura 2.</w:t>
      </w:r>
      <w:r w:rsidRPr="002667B2">
        <w:rPr>
          <w:rFonts w:ascii="Avenir Next" w:hAnsi="Avenir Next"/>
        </w:rPr>
        <w:t xml:space="preserve"> </w:t>
      </w:r>
    </w:p>
    <w:p w14:paraId="7813C576" w14:textId="0F67E3B2" w:rsidR="00144113" w:rsidRPr="00D92F0A" w:rsidRDefault="00AA5394">
      <w:pPr>
        <w:spacing w:after="200" w:line="240" w:lineRule="auto"/>
        <w:jc w:val="center"/>
        <w:rPr>
          <w:rFonts w:ascii="Avenir Next" w:hAnsi="Avenir Next"/>
          <w:i/>
        </w:rPr>
      </w:pPr>
      <w:r w:rsidRPr="00D92F0A">
        <w:rPr>
          <w:rFonts w:ascii="Avenir Next" w:hAnsi="Avenir Next"/>
          <w:b/>
          <w:i/>
        </w:rPr>
        <w:t>Panoramas en VIS.</w:t>
      </w:r>
      <w:r w:rsidRPr="00D92F0A">
        <w:rPr>
          <w:rFonts w:ascii="Avenir Next" w:hAnsi="Avenir Next"/>
          <w:i/>
        </w:rPr>
        <w:t xml:space="preserve"> Obra Paisaje con casa campesina (30.3 cm x 21.6 cm) por el </w:t>
      </w:r>
      <w:r w:rsidRPr="00D92F0A">
        <w:rPr>
          <w:rFonts w:ascii="Avenir Next" w:hAnsi="Avenir Next"/>
          <w:b/>
          <w:i/>
        </w:rPr>
        <w:t xml:space="preserve">A) </w:t>
      </w:r>
      <w:r w:rsidRPr="00D92F0A">
        <w:rPr>
          <w:rFonts w:ascii="Avenir Next" w:hAnsi="Avenir Next"/>
          <w:i/>
        </w:rPr>
        <w:t xml:space="preserve">anverso y </w:t>
      </w:r>
      <w:r w:rsidRPr="00D92F0A">
        <w:rPr>
          <w:rFonts w:ascii="Avenir Next" w:hAnsi="Avenir Next"/>
          <w:b/>
          <w:i/>
        </w:rPr>
        <w:t>B)</w:t>
      </w:r>
      <w:r w:rsidRPr="00D92F0A">
        <w:rPr>
          <w:rFonts w:ascii="Avenir Next" w:hAnsi="Avenir Next"/>
          <w:i/>
        </w:rPr>
        <w:t xml:space="preserve"> reverso, y obra El puente (56.7 cm x 43.3 cm) por el </w:t>
      </w:r>
      <w:r w:rsidRPr="00D92F0A">
        <w:rPr>
          <w:rFonts w:ascii="Avenir Next" w:hAnsi="Avenir Next"/>
          <w:b/>
          <w:i/>
        </w:rPr>
        <w:t>C)</w:t>
      </w:r>
      <w:r w:rsidRPr="00D92F0A">
        <w:rPr>
          <w:rFonts w:ascii="Avenir Next" w:hAnsi="Avenir Next"/>
          <w:i/>
        </w:rPr>
        <w:t xml:space="preserve"> anverso y </w:t>
      </w:r>
      <w:r w:rsidRPr="00D92F0A">
        <w:rPr>
          <w:rFonts w:ascii="Avenir Next" w:hAnsi="Avenir Next"/>
          <w:b/>
          <w:i/>
        </w:rPr>
        <w:t>D)</w:t>
      </w:r>
      <w:r w:rsidRPr="00D92F0A">
        <w:rPr>
          <w:rFonts w:ascii="Avenir Next" w:hAnsi="Avenir Next"/>
          <w:i/>
        </w:rPr>
        <w:t xml:space="preserve"> reverso.</w:t>
      </w:r>
    </w:p>
    <w:p w14:paraId="298B3DF9" w14:textId="77777777" w:rsidR="00B975C1" w:rsidRPr="002667B2" w:rsidRDefault="007801BB">
      <w:pPr>
        <w:spacing w:after="200" w:line="240" w:lineRule="auto"/>
        <w:jc w:val="center"/>
        <w:rPr>
          <w:rFonts w:ascii="Avenir Next" w:hAnsi="Avenir Next"/>
          <w:sz w:val="26"/>
          <w:szCs w:val="26"/>
        </w:rPr>
      </w:pPr>
      <w:r w:rsidRPr="002667B2">
        <w:rPr>
          <w:rFonts w:ascii="Avenir Next" w:hAnsi="Avenir Next"/>
          <w:noProof/>
          <w:sz w:val="26"/>
          <w:szCs w:val="26"/>
          <w:lang w:eastAsia="es-CR"/>
        </w:rPr>
        <w:drawing>
          <wp:anchor distT="0" distB="0" distL="114300" distR="114300" simplePos="0" relativeHeight="251666432" behindDoc="0" locked="0" layoutInCell="1" allowOverlap="1" wp14:anchorId="7A90AE6A" wp14:editId="1B802321">
            <wp:simplePos x="0" y="0"/>
            <wp:positionH relativeFrom="margin">
              <wp:align>center</wp:align>
            </wp:positionH>
            <wp:positionV relativeFrom="paragraph">
              <wp:posOffset>6985</wp:posOffset>
            </wp:positionV>
            <wp:extent cx="3960000" cy="2990020"/>
            <wp:effectExtent l="0" t="0" r="2540" b="127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60000" cy="2990020"/>
                    </a:xfrm>
                    <a:prstGeom prst="rect">
                      <a:avLst/>
                    </a:prstGeom>
                  </pic:spPr>
                </pic:pic>
              </a:graphicData>
            </a:graphic>
          </wp:anchor>
        </w:drawing>
      </w:r>
    </w:p>
    <w:p w14:paraId="5DD547E8" w14:textId="77777777" w:rsidR="00AC4C44" w:rsidRPr="002667B2" w:rsidRDefault="00AC4C44">
      <w:pPr>
        <w:spacing w:after="200" w:line="240" w:lineRule="auto"/>
        <w:jc w:val="both"/>
        <w:rPr>
          <w:rFonts w:ascii="Avenir Next" w:hAnsi="Avenir Next"/>
          <w:sz w:val="24"/>
          <w:szCs w:val="24"/>
        </w:rPr>
      </w:pPr>
    </w:p>
    <w:p w14:paraId="5A346FF0" w14:textId="77777777" w:rsidR="00AC4C44" w:rsidRPr="002667B2" w:rsidRDefault="00AC4C44">
      <w:pPr>
        <w:spacing w:after="200" w:line="240" w:lineRule="auto"/>
        <w:jc w:val="both"/>
        <w:rPr>
          <w:rFonts w:ascii="Avenir Next" w:hAnsi="Avenir Next"/>
          <w:sz w:val="24"/>
          <w:szCs w:val="24"/>
        </w:rPr>
      </w:pPr>
    </w:p>
    <w:p w14:paraId="28B7302B" w14:textId="77777777" w:rsidR="00AC4C44" w:rsidRPr="002667B2" w:rsidRDefault="00AC4C44">
      <w:pPr>
        <w:spacing w:after="200" w:line="240" w:lineRule="auto"/>
        <w:jc w:val="both"/>
        <w:rPr>
          <w:rFonts w:ascii="Avenir Next" w:hAnsi="Avenir Next"/>
          <w:sz w:val="24"/>
          <w:szCs w:val="24"/>
        </w:rPr>
      </w:pPr>
    </w:p>
    <w:p w14:paraId="16BF9D44" w14:textId="77777777" w:rsidR="00AC4C44" w:rsidRPr="002667B2" w:rsidRDefault="00AC4C44">
      <w:pPr>
        <w:spacing w:after="200" w:line="240" w:lineRule="auto"/>
        <w:jc w:val="both"/>
        <w:rPr>
          <w:rFonts w:ascii="Avenir Next" w:hAnsi="Avenir Next"/>
          <w:sz w:val="24"/>
          <w:szCs w:val="24"/>
        </w:rPr>
      </w:pPr>
    </w:p>
    <w:p w14:paraId="500103A8" w14:textId="77777777" w:rsidR="00AC4C44" w:rsidRPr="002667B2" w:rsidRDefault="00AC4C44">
      <w:pPr>
        <w:spacing w:after="200" w:line="240" w:lineRule="auto"/>
        <w:jc w:val="both"/>
        <w:rPr>
          <w:rFonts w:ascii="Avenir Next" w:hAnsi="Avenir Next"/>
          <w:sz w:val="24"/>
          <w:szCs w:val="24"/>
        </w:rPr>
      </w:pPr>
    </w:p>
    <w:p w14:paraId="51F62896" w14:textId="77777777" w:rsidR="007801BB" w:rsidRPr="002667B2" w:rsidRDefault="007801BB">
      <w:pPr>
        <w:spacing w:after="200" w:line="240" w:lineRule="auto"/>
        <w:jc w:val="both"/>
        <w:rPr>
          <w:rFonts w:ascii="Avenir Next" w:hAnsi="Avenir Next"/>
          <w:sz w:val="24"/>
          <w:szCs w:val="24"/>
        </w:rPr>
      </w:pPr>
    </w:p>
    <w:p w14:paraId="6B7FD330" w14:textId="77777777" w:rsidR="007801BB" w:rsidRDefault="007801BB">
      <w:pPr>
        <w:spacing w:after="200" w:line="240" w:lineRule="auto"/>
        <w:jc w:val="both"/>
        <w:rPr>
          <w:rFonts w:ascii="Avenir Next" w:hAnsi="Avenir Next"/>
          <w:sz w:val="24"/>
          <w:szCs w:val="24"/>
        </w:rPr>
      </w:pPr>
    </w:p>
    <w:p w14:paraId="305F451F" w14:textId="77777777" w:rsidR="00A84454" w:rsidRDefault="00A84454">
      <w:pPr>
        <w:spacing w:after="200" w:line="240" w:lineRule="auto"/>
        <w:jc w:val="both"/>
        <w:rPr>
          <w:rFonts w:ascii="Avenir Next" w:hAnsi="Avenir Next"/>
          <w:sz w:val="24"/>
          <w:szCs w:val="24"/>
        </w:rPr>
      </w:pPr>
    </w:p>
    <w:p w14:paraId="0D6D42BA" w14:textId="77777777" w:rsidR="00A84454" w:rsidRDefault="00A84454">
      <w:pPr>
        <w:spacing w:after="200" w:line="240" w:lineRule="auto"/>
        <w:jc w:val="both"/>
        <w:rPr>
          <w:rFonts w:ascii="Avenir Next" w:hAnsi="Avenir Next"/>
          <w:sz w:val="24"/>
          <w:szCs w:val="24"/>
        </w:rPr>
      </w:pPr>
    </w:p>
    <w:p w14:paraId="577FB886" w14:textId="0F54341C" w:rsidR="00AC4C44" w:rsidRPr="00D92F0A" w:rsidRDefault="007801BB">
      <w:pPr>
        <w:spacing w:after="200" w:line="240" w:lineRule="auto"/>
        <w:jc w:val="both"/>
        <w:rPr>
          <w:rFonts w:ascii="Avenir Next" w:hAnsi="Avenir Next"/>
          <w:b/>
          <w:bCs/>
          <w:szCs w:val="20"/>
        </w:rPr>
      </w:pPr>
      <w:r w:rsidRPr="00D92F0A">
        <w:rPr>
          <w:rFonts w:ascii="Avenir Next" w:hAnsi="Avenir Next"/>
          <w:i/>
          <w:sz w:val="26"/>
          <w:szCs w:val="24"/>
        </w:rPr>
        <w:t xml:space="preserve">    </w:t>
      </w:r>
      <w:r w:rsidR="00D92F0A" w:rsidRPr="00D92F0A">
        <w:rPr>
          <w:rFonts w:ascii="Avenir Next" w:hAnsi="Avenir Next"/>
          <w:i/>
          <w:sz w:val="26"/>
          <w:szCs w:val="24"/>
        </w:rPr>
        <w:t xml:space="preserve">                               </w:t>
      </w:r>
      <w:r w:rsidR="001C706B" w:rsidRPr="00D92F0A">
        <w:rPr>
          <w:rFonts w:ascii="Avenir Next" w:hAnsi="Avenir Next"/>
          <w:bCs/>
          <w:i/>
          <w:szCs w:val="20"/>
        </w:rPr>
        <w:t>Fuente:</w:t>
      </w:r>
      <w:r w:rsidR="008126E1" w:rsidRPr="00D92F0A">
        <w:rPr>
          <w:rFonts w:ascii="Avenir Next" w:hAnsi="Avenir Next"/>
          <w:b/>
          <w:bCs/>
          <w:szCs w:val="20"/>
        </w:rPr>
        <w:t xml:space="preserve"> </w:t>
      </w:r>
      <w:r w:rsidR="008126E1" w:rsidRPr="00D92F0A">
        <w:rPr>
          <w:rFonts w:ascii="Avenir Next" w:hAnsi="Avenir Next"/>
          <w:szCs w:val="20"/>
        </w:rPr>
        <w:t>Elaboración propia</w:t>
      </w:r>
      <w:r w:rsidR="00DE71E8" w:rsidRPr="00D92F0A">
        <w:rPr>
          <w:rFonts w:ascii="Avenir Next" w:hAnsi="Avenir Next"/>
          <w:szCs w:val="20"/>
        </w:rPr>
        <w:t xml:space="preserve"> hecha </w:t>
      </w:r>
      <w:r w:rsidR="008126E1" w:rsidRPr="00D92F0A">
        <w:rPr>
          <w:rFonts w:ascii="Avenir Next" w:hAnsi="Avenir Next"/>
          <w:szCs w:val="20"/>
        </w:rPr>
        <w:t>por Mariana Viales Leandro</w:t>
      </w:r>
      <w:r w:rsidR="00D92F0A">
        <w:rPr>
          <w:rFonts w:ascii="Avenir Next" w:hAnsi="Avenir Next"/>
          <w:szCs w:val="20"/>
        </w:rPr>
        <w:t>, 2022</w:t>
      </w:r>
      <w:r w:rsidR="00454FAC" w:rsidRPr="00D92F0A">
        <w:rPr>
          <w:rFonts w:ascii="Avenir Next" w:hAnsi="Avenir Next"/>
          <w:szCs w:val="20"/>
        </w:rPr>
        <w:t>.</w:t>
      </w:r>
    </w:p>
    <w:p w14:paraId="59D6C013"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De acuerdo con esto, </w:t>
      </w:r>
      <w:r w:rsidRPr="002667B2">
        <w:rPr>
          <w:rFonts w:ascii="Avenir Next" w:hAnsi="Avenir Next"/>
          <w:i/>
          <w:sz w:val="24"/>
          <w:szCs w:val="24"/>
        </w:rPr>
        <w:t>Paisaje con casa campesina</w:t>
      </w:r>
      <w:r w:rsidRPr="002667B2">
        <w:rPr>
          <w:rFonts w:ascii="Avenir Next" w:hAnsi="Avenir Next"/>
          <w:sz w:val="24"/>
          <w:szCs w:val="24"/>
        </w:rPr>
        <w:t xml:space="preserve"> se seleccionó porque evidencia un profundo conocimiento de los alcances técnicos y expresivos de la acuarela. El trabajo de veladuras, la consecución de calidades lumínicas y cromáticas, la solvencia de la pincelada, que se presenta más controlada en el primer plano y más libre en el fondo, son rasgos que manifiestan dominio de la técnica</w:t>
      </w:r>
      <w:r w:rsidRPr="0003359F">
        <w:rPr>
          <w:rFonts w:ascii="Avenir Next" w:hAnsi="Avenir Next"/>
          <w:sz w:val="24"/>
          <w:szCs w:val="24"/>
        </w:rPr>
        <w:t xml:space="preserve">. </w:t>
      </w:r>
      <w:r w:rsidR="00F31FF6" w:rsidRPr="0003359F">
        <w:rPr>
          <w:rFonts w:ascii="Avenir Next" w:hAnsi="Avenir Next"/>
          <w:sz w:val="24"/>
          <w:szCs w:val="24"/>
        </w:rPr>
        <w:t>La</w:t>
      </w:r>
      <w:r w:rsidRPr="0003359F">
        <w:rPr>
          <w:rFonts w:ascii="Avenir Next" w:hAnsi="Avenir Next"/>
          <w:sz w:val="24"/>
          <w:szCs w:val="24"/>
        </w:rPr>
        <w:t xml:space="preserve"> obra</w:t>
      </w:r>
      <w:r w:rsidRPr="002667B2">
        <w:rPr>
          <w:rFonts w:ascii="Avenir Next" w:hAnsi="Avenir Next"/>
          <w:sz w:val="24"/>
          <w:szCs w:val="24"/>
        </w:rPr>
        <w:t xml:space="preserve"> coincide además con la estructura compositiva típica de Fausto Pacheco: la definición de un primer plano sombrío y de un medio plano luminoso; así como el empleo de las diagonales como recurso articulador y dinamizador del espacio.</w:t>
      </w:r>
    </w:p>
    <w:p w14:paraId="1E93791D"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A diferencia, </w:t>
      </w:r>
      <w:r w:rsidRPr="002667B2">
        <w:rPr>
          <w:rFonts w:ascii="Avenir Next" w:hAnsi="Avenir Next"/>
          <w:i/>
          <w:sz w:val="24"/>
          <w:szCs w:val="24"/>
        </w:rPr>
        <w:t>El puente</w:t>
      </w:r>
      <w:r w:rsidRPr="002667B2">
        <w:rPr>
          <w:rFonts w:ascii="Avenir Next" w:hAnsi="Avenir Next"/>
          <w:sz w:val="24"/>
          <w:szCs w:val="24"/>
        </w:rPr>
        <w:t xml:space="preserve"> es una obra poco convincente porque ostenta una rigidez generalizada en la pincelada y en la definición del color. La aplicación moteada y densa de la materia pictórica en algunas zonas de la obra, es un rasgo que contrasta con las transparencias y la luminosidad que se aprecia en las obras de Fausto Pacheco. La resolución del cielo también muestra carencia de control de la aguada, lo que es inusual en el artista.</w:t>
      </w:r>
    </w:p>
    <w:p w14:paraId="2B8217F2" w14:textId="77777777" w:rsidR="00410D4F" w:rsidRDefault="00410D4F">
      <w:pPr>
        <w:spacing w:after="200" w:line="240" w:lineRule="auto"/>
        <w:jc w:val="both"/>
        <w:rPr>
          <w:rFonts w:ascii="Avenir Next" w:hAnsi="Avenir Next"/>
          <w:b/>
          <w:sz w:val="24"/>
          <w:szCs w:val="24"/>
        </w:rPr>
      </w:pPr>
    </w:p>
    <w:p w14:paraId="1A9A09B5"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lastRenderedPageBreak/>
        <w:t xml:space="preserve">Fotografía Multiespectral </w:t>
      </w:r>
    </w:p>
    <w:p w14:paraId="3938EDF4" w14:textId="08E05D2B" w:rsidR="007801BB"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Los sistemas de fotografía multiespectral están siendo </w:t>
      </w:r>
      <w:r w:rsidR="00580BAA">
        <w:rPr>
          <w:rFonts w:ascii="Avenir Next" w:hAnsi="Avenir Next"/>
          <w:sz w:val="24"/>
          <w:szCs w:val="24"/>
        </w:rPr>
        <w:t xml:space="preserve">cada vez </w:t>
      </w:r>
      <w:r w:rsidR="00580BAA" w:rsidRPr="00580BAA">
        <w:rPr>
          <w:rFonts w:ascii="Avenir Next" w:hAnsi="Avenir Next"/>
          <w:sz w:val="24"/>
          <w:szCs w:val="24"/>
        </w:rPr>
        <w:t>más</w:t>
      </w:r>
      <w:r w:rsidRPr="002667B2">
        <w:rPr>
          <w:rFonts w:ascii="Avenir Next" w:hAnsi="Avenir Next"/>
          <w:sz w:val="24"/>
          <w:szCs w:val="24"/>
        </w:rPr>
        <w:t xml:space="preserve"> utilizados con el fin de mapear e identificar pigmentos, aglutinantes y restauraciones en obras pictóricas (Cosentino, 2015a). A partir de lo anterior se establece una línea base del estado actual del objeto en estudio por medio de herramientas no invasivas. Cabe destacar que la técnica de MSI se empleó para las obras denominadas: </w:t>
      </w:r>
      <w:r w:rsidRPr="002667B2">
        <w:rPr>
          <w:rFonts w:ascii="Avenir Next" w:hAnsi="Avenir Next"/>
          <w:i/>
          <w:sz w:val="24"/>
          <w:szCs w:val="24"/>
        </w:rPr>
        <w:t>Paisaje con casa campesina</w:t>
      </w:r>
      <w:r w:rsidRPr="002667B2">
        <w:rPr>
          <w:rFonts w:ascii="Avenir Next" w:hAnsi="Avenir Next"/>
          <w:sz w:val="24"/>
          <w:szCs w:val="24"/>
        </w:rPr>
        <w:t xml:space="preserve"> y </w:t>
      </w:r>
      <w:r w:rsidRPr="002667B2">
        <w:rPr>
          <w:rFonts w:ascii="Avenir Next" w:hAnsi="Avenir Next"/>
          <w:i/>
          <w:sz w:val="24"/>
          <w:szCs w:val="24"/>
        </w:rPr>
        <w:t>El puente</w:t>
      </w:r>
      <w:r w:rsidRPr="002667B2">
        <w:rPr>
          <w:rFonts w:ascii="Avenir Next" w:hAnsi="Avenir Next"/>
          <w:sz w:val="24"/>
          <w:szCs w:val="24"/>
        </w:rPr>
        <w:t xml:space="preserve">, descritas anteriormente, para adquirir imágenes de alta resolución que permiten obtener una aproximación muy cercana a las obras. MSI se llevó a cabo en las regiones VIS (ver figura 2) y UV (ver figura 3) del espectro electromagnético. </w:t>
      </w:r>
    </w:p>
    <w:p w14:paraId="2C5FD14B" w14:textId="77777777" w:rsidR="00D92F0A" w:rsidRPr="00D92F0A" w:rsidRDefault="00AA5394" w:rsidP="00835207">
      <w:pPr>
        <w:spacing w:after="200" w:line="240" w:lineRule="auto"/>
        <w:jc w:val="center"/>
        <w:rPr>
          <w:rFonts w:ascii="Avenir Next" w:hAnsi="Avenir Next"/>
          <w:sz w:val="24"/>
        </w:rPr>
      </w:pPr>
      <w:r w:rsidRPr="00D92F0A">
        <w:rPr>
          <w:rFonts w:ascii="Avenir Next" w:hAnsi="Avenir Next"/>
          <w:b/>
          <w:sz w:val="24"/>
        </w:rPr>
        <w:t>Figura 3.</w:t>
      </w:r>
      <w:r w:rsidRPr="00D92F0A">
        <w:rPr>
          <w:rFonts w:ascii="Avenir Next" w:hAnsi="Avenir Next"/>
          <w:sz w:val="24"/>
        </w:rPr>
        <w:t xml:space="preserve"> </w:t>
      </w:r>
    </w:p>
    <w:p w14:paraId="7E733EEE" w14:textId="72ECE9C8" w:rsidR="00835207" w:rsidRPr="00D92F0A" w:rsidRDefault="00AA5394" w:rsidP="00835207">
      <w:pPr>
        <w:spacing w:after="200" w:line="240" w:lineRule="auto"/>
        <w:jc w:val="center"/>
        <w:rPr>
          <w:rFonts w:ascii="Avenir Next" w:hAnsi="Avenir Next"/>
          <w:i/>
          <w:sz w:val="24"/>
        </w:rPr>
      </w:pPr>
      <w:r w:rsidRPr="00D92F0A">
        <w:rPr>
          <w:rFonts w:ascii="Avenir Next" w:hAnsi="Avenir Next"/>
          <w:b/>
          <w:i/>
          <w:sz w:val="24"/>
        </w:rPr>
        <w:t>Panoramas en UV.</w:t>
      </w:r>
      <w:r w:rsidRPr="00D92F0A">
        <w:rPr>
          <w:rFonts w:ascii="Avenir Next" w:hAnsi="Avenir Next"/>
          <w:i/>
          <w:sz w:val="24"/>
        </w:rPr>
        <w:t xml:space="preserve"> Obra Paisaje con casa campesina por el </w:t>
      </w:r>
      <w:r w:rsidRPr="00D92F0A">
        <w:rPr>
          <w:rFonts w:ascii="Avenir Next" w:hAnsi="Avenir Next"/>
          <w:b/>
          <w:i/>
          <w:sz w:val="24"/>
        </w:rPr>
        <w:t xml:space="preserve">A) </w:t>
      </w:r>
      <w:r w:rsidRPr="00D92F0A">
        <w:rPr>
          <w:rFonts w:ascii="Avenir Next" w:hAnsi="Avenir Next"/>
          <w:i/>
          <w:sz w:val="24"/>
        </w:rPr>
        <w:t xml:space="preserve">anverso y </w:t>
      </w:r>
      <w:r w:rsidRPr="00D92F0A">
        <w:rPr>
          <w:rFonts w:ascii="Avenir Next" w:hAnsi="Avenir Next"/>
          <w:b/>
          <w:i/>
          <w:sz w:val="24"/>
        </w:rPr>
        <w:t>B)</w:t>
      </w:r>
      <w:r w:rsidRPr="00D92F0A">
        <w:rPr>
          <w:rFonts w:ascii="Avenir Next" w:hAnsi="Avenir Next"/>
          <w:i/>
          <w:sz w:val="24"/>
        </w:rPr>
        <w:t xml:space="preserve"> reverso, y obra El puente por el </w:t>
      </w:r>
      <w:r w:rsidRPr="00D92F0A">
        <w:rPr>
          <w:rFonts w:ascii="Avenir Next" w:hAnsi="Avenir Next"/>
          <w:b/>
          <w:i/>
          <w:sz w:val="24"/>
        </w:rPr>
        <w:t>C)</w:t>
      </w:r>
      <w:r w:rsidRPr="00D92F0A">
        <w:rPr>
          <w:rFonts w:ascii="Avenir Next" w:hAnsi="Avenir Next"/>
          <w:i/>
          <w:sz w:val="24"/>
        </w:rPr>
        <w:t xml:space="preserve"> anverso y </w:t>
      </w:r>
      <w:r w:rsidRPr="00D92F0A">
        <w:rPr>
          <w:rFonts w:ascii="Avenir Next" w:hAnsi="Avenir Next"/>
          <w:b/>
          <w:i/>
          <w:sz w:val="24"/>
        </w:rPr>
        <w:t>D)</w:t>
      </w:r>
      <w:r w:rsidRPr="00D92F0A">
        <w:rPr>
          <w:rFonts w:ascii="Avenir Next" w:hAnsi="Avenir Next"/>
          <w:i/>
          <w:sz w:val="24"/>
        </w:rPr>
        <w:t xml:space="preserve"> reverso.</w:t>
      </w:r>
    </w:p>
    <w:p w14:paraId="15A5A375" w14:textId="4CE16883" w:rsidR="00AC4C44" w:rsidRPr="00835207" w:rsidRDefault="00AC4C44" w:rsidP="00835207">
      <w:pPr>
        <w:spacing w:after="200" w:line="240" w:lineRule="auto"/>
        <w:jc w:val="center"/>
        <w:rPr>
          <w:rFonts w:ascii="Avenir Next" w:hAnsi="Avenir Next"/>
        </w:rPr>
      </w:pPr>
      <w:r w:rsidRPr="002667B2">
        <w:rPr>
          <w:rFonts w:ascii="Avenir Next" w:hAnsi="Avenir Next"/>
          <w:noProof/>
          <w:sz w:val="24"/>
          <w:szCs w:val="24"/>
          <w:lang w:eastAsia="es-CR"/>
        </w:rPr>
        <w:drawing>
          <wp:anchor distT="0" distB="0" distL="114300" distR="114300" simplePos="0" relativeHeight="251662336" behindDoc="0" locked="0" layoutInCell="1" allowOverlap="1" wp14:anchorId="1DD05DF7" wp14:editId="300D92EC">
            <wp:simplePos x="0" y="0"/>
            <wp:positionH relativeFrom="margin">
              <wp:posOffset>1081636</wp:posOffset>
            </wp:positionH>
            <wp:positionV relativeFrom="paragraph">
              <wp:posOffset>178897</wp:posOffset>
            </wp:positionV>
            <wp:extent cx="3860800" cy="2743027"/>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8" cstate="print">
                      <a:extLst>
                        <a:ext uri="{28A0092B-C50C-407E-A947-70E740481C1C}">
                          <a14:useLocalDpi xmlns:a14="http://schemas.microsoft.com/office/drawing/2010/main" val="0"/>
                        </a:ext>
                      </a:extLst>
                    </a:blip>
                    <a:srcRect t="5226" r="2470" b="3466"/>
                    <a:stretch/>
                  </pic:blipFill>
                  <pic:spPr bwMode="auto">
                    <a:xfrm>
                      <a:off x="0" y="0"/>
                      <a:ext cx="3862175" cy="27440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7C8ABC" w14:textId="77777777" w:rsidR="00AC4C44" w:rsidRPr="002667B2" w:rsidRDefault="00AC4C44">
      <w:pPr>
        <w:spacing w:after="200" w:line="240" w:lineRule="auto"/>
        <w:jc w:val="both"/>
        <w:rPr>
          <w:rFonts w:ascii="Avenir Next" w:hAnsi="Avenir Next"/>
          <w:sz w:val="24"/>
          <w:szCs w:val="24"/>
        </w:rPr>
      </w:pPr>
    </w:p>
    <w:p w14:paraId="5AE30FDC" w14:textId="77777777" w:rsidR="00AC4C44" w:rsidRPr="002667B2" w:rsidRDefault="00AC4C44">
      <w:pPr>
        <w:spacing w:after="200" w:line="240" w:lineRule="auto"/>
        <w:jc w:val="both"/>
        <w:rPr>
          <w:rFonts w:ascii="Avenir Next" w:hAnsi="Avenir Next"/>
          <w:sz w:val="24"/>
          <w:szCs w:val="24"/>
        </w:rPr>
      </w:pPr>
    </w:p>
    <w:p w14:paraId="53E4424A" w14:textId="77777777" w:rsidR="00AC4C44" w:rsidRPr="002667B2" w:rsidRDefault="00AC4C44">
      <w:pPr>
        <w:spacing w:after="200" w:line="240" w:lineRule="auto"/>
        <w:jc w:val="both"/>
        <w:rPr>
          <w:rFonts w:ascii="Avenir Next" w:hAnsi="Avenir Next"/>
          <w:sz w:val="24"/>
          <w:szCs w:val="24"/>
        </w:rPr>
      </w:pPr>
    </w:p>
    <w:p w14:paraId="76CFE2C7" w14:textId="77777777" w:rsidR="00AC4C44" w:rsidRPr="002667B2" w:rsidRDefault="00AC4C44">
      <w:pPr>
        <w:spacing w:after="200" w:line="240" w:lineRule="auto"/>
        <w:jc w:val="both"/>
        <w:rPr>
          <w:rFonts w:ascii="Avenir Next" w:hAnsi="Avenir Next"/>
          <w:sz w:val="24"/>
          <w:szCs w:val="24"/>
        </w:rPr>
      </w:pPr>
    </w:p>
    <w:p w14:paraId="203BDA97" w14:textId="77777777" w:rsidR="00AC4C44" w:rsidRPr="002667B2" w:rsidRDefault="00AC4C44">
      <w:pPr>
        <w:spacing w:after="200" w:line="240" w:lineRule="auto"/>
        <w:jc w:val="both"/>
        <w:rPr>
          <w:rFonts w:ascii="Avenir Next" w:hAnsi="Avenir Next"/>
          <w:sz w:val="24"/>
          <w:szCs w:val="24"/>
        </w:rPr>
      </w:pPr>
    </w:p>
    <w:p w14:paraId="333D94B8" w14:textId="77777777" w:rsidR="00AC4C44" w:rsidRPr="002667B2" w:rsidRDefault="00AC4C44">
      <w:pPr>
        <w:spacing w:after="200" w:line="240" w:lineRule="auto"/>
        <w:jc w:val="both"/>
        <w:rPr>
          <w:rFonts w:ascii="Avenir Next" w:hAnsi="Avenir Next"/>
          <w:sz w:val="24"/>
          <w:szCs w:val="24"/>
        </w:rPr>
      </w:pPr>
    </w:p>
    <w:p w14:paraId="5C7F23B8" w14:textId="77777777" w:rsidR="00AC4C44" w:rsidRPr="002667B2" w:rsidRDefault="00AC4C44">
      <w:pPr>
        <w:spacing w:after="200" w:line="240" w:lineRule="auto"/>
        <w:jc w:val="both"/>
        <w:rPr>
          <w:rFonts w:ascii="Avenir Next" w:hAnsi="Avenir Next"/>
          <w:sz w:val="24"/>
          <w:szCs w:val="24"/>
        </w:rPr>
      </w:pPr>
    </w:p>
    <w:p w14:paraId="149E6A32" w14:textId="77777777" w:rsidR="001C706B" w:rsidRDefault="001C706B">
      <w:pPr>
        <w:spacing w:after="200" w:line="240" w:lineRule="auto"/>
        <w:jc w:val="both"/>
        <w:rPr>
          <w:rFonts w:ascii="Avenir Next" w:hAnsi="Avenir Next"/>
          <w:sz w:val="24"/>
          <w:szCs w:val="24"/>
        </w:rPr>
      </w:pPr>
    </w:p>
    <w:p w14:paraId="192C260E" w14:textId="77777777" w:rsidR="00A84454" w:rsidRDefault="00A84454">
      <w:pPr>
        <w:spacing w:after="200" w:line="240" w:lineRule="auto"/>
        <w:jc w:val="both"/>
        <w:rPr>
          <w:rFonts w:ascii="Avenir Next" w:hAnsi="Avenir Next"/>
          <w:sz w:val="24"/>
          <w:szCs w:val="24"/>
        </w:rPr>
      </w:pPr>
    </w:p>
    <w:p w14:paraId="1E14E95B" w14:textId="45F89E08" w:rsidR="00FC4F78" w:rsidRPr="00D92F0A" w:rsidRDefault="00FC4F78" w:rsidP="00FC4F78">
      <w:pPr>
        <w:spacing w:after="200" w:line="240" w:lineRule="auto"/>
        <w:jc w:val="both"/>
        <w:rPr>
          <w:rFonts w:ascii="Avenir Next" w:hAnsi="Avenir Next"/>
          <w:sz w:val="26"/>
          <w:szCs w:val="24"/>
        </w:rPr>
      </w:pPr>
      <w:r w:rsidRPr="002667B2">
        <w:rPr>
          <w:rFonts w:ascii="Avenir Next" w:hAnsi="Avenir Next"/>
          <w:sz w:val="24"/>
          <w:szCs w:val="24"/>
        </w:rPr>
        <w:t xml:space="preserve">                                   </w:t>
      </w:r>
      <w:r w:rsidRPr="00D92F0A">
        <w:rPr>
          <w:rFonts w:ascii="Avenir Next" w:hAnsi="Avenir Next"/>
          <w:bCs/>
          <w:i/>
          <w:szCs w:val="20"/>
        </w:rPr>
        <w:t>Fuente:</w:t>
      </w:r>
      <w:r w:rsidRPr="00D92F0A">
        <w:rPr>
          <w:rFonts w:ascii="Avenir Next" w:hAnsi="Avenir Next"/>
          <w:b/>
          <w:bCs/>
          <w:szCs w:val="20"/>
        </w:rPr>
        <w:t xml:space="preserve"> </w:t>
      </w:r>
      <w:r w:rsidRPr="00D92F0A">
        <w:rPr>
          <w:rFonts w:ascii="Avenir Next" w:hAnsi="Avenir Next"/>
          <w:szCs w:val="20"/>
        </w:rPr>
        <w:t xml:space="preserve">Elaboración propia </w:t>
      </w:r>
      <w:r w:rsidR="00DE71E8" w:rsidRPr="00D92F0A">
        <w:rPr>
          <w:rFonts w:ascii="Avenir Next" w:hAnsi="Avenir Next"/>
          <w:szCs w:val="20"/>
        </w:rPr>
        <w:t xml:space="preserve">hecha </w:t>
      </w:r>
      <w:r w:rsidRPr="00D92F0A">
        <w:rPr>
          <w:rFonts w:ascii="Avenir Next" w:hAnsi="Avenir Next"/>
          <w:szCs w:val="20"/>
        </w:rPr>
        <w:t>por Mariana Viales Leandro</w:t>
      </w:r>
      <w:r w:rsidR="00D92F0A">
        <w:rPr>
          <w:rFonts w:ascii="Avenir Next" w:hAnsi="Avenir Next"/>
          <w:szCs w:val="20"/>
        </w:rPr>
        <w:t>, 2022</w:t>
      </w:r>
      <w:r w:rsidR="00454FAC" w:rsidRPr="00D92F0A">
        <w:rPr>
          <w:rFonts w:ascii="Avenir Next" w:hAnsi="Avenir Next"/>
          <w:szCs w:val="20"/>
        </w:rPr>
        <w:t>.</w:t>
      </w:r>
    </w:p>
    <w:p w14:paraId="18C6CF8C" w14:textId="77777777" w:rsidR="00FC4F78" w:rsidRPr="00D92F0A" w:rsidRDefault="00FC4F78">
      <w:pPr>
        <w:spacing w:after="200" w:line="240" w:lineRule="auto"/>
        <w:jc w:val="both"/>
        <w:rPr>
          <w:rFonts w:ascii="Avenir Next" w:hAnsi="Avenir Next"/>
          <w:sz w:val="26"/>
          <w:szCs w:val="24"/>
        </w:rPr>
      </w:pPr>
    </w:p>
    <w:p w14:paraId="2B6FEBBC" w14:textId="56ABD2E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Las fotografías se adquirieron utilizando una cámara comercial marca Nikon modelo D5300. Para el caso del espectro VIS se utilizaron dos lámparas de halógenos con una potencia aproximada de 150</w:t>
      </w:r>
      <w:r w:rsidR="0003359F">
        <w:rPr>
          <w:rFonts w:ascii="Avenir Next" w:hAnsi="Avenir Next"/>
          <w:sz w:val="24"/>
          <w:szCs w:val="24"/>
        </w:rPr>
        <w:t> </w:t>
      </w:r>
      <w:r w:rsidRPr="002667B2">
        <w:rPr>
          <w:rFonts w:ascii="Avenir Next" w:hAnsi="Avenir Next"/>
          <w:sz w:val="24"/>
          <w:szCs w:val="24"/>
        </w:rPr>
        <w:t xml:space="preserve">W cada una. Para las imágenes capturadas en UV se utilizó una fuente de radiación que pertenece a dicha región, comúnmente conocida como lámpara de luz negra. </w:t>
      </w:r>
      <w:r w:rsidR="00580BAA" w:rsidRPr="00580BAA">
        <w:rPr>
          <w:rFonts w:ascii="Avenir Next" w:hAnsi="Avenir Next"/>
          <w:sz w:val="24"/>
          <w:szCs w:val="24"/>
        </w:rPr>
        <w:t>La</w:t>
      </w:r>
      <w:r w:rsidRPr="00580BAA">
        <w:rPr>
          <w:rFonts w:ascii="Avenir Next" w:hAnsi="Avenir Next"/>
          <w:sz w:val="24"/>
          <w:szCs w:val="24"/>
        </w:rPr>
        <w:t xml:space="preserve"> lámpara</w:t>
      </w:r>
      <w:r w:rsidRPr="002667B2">
        <w:rPr>
          <w:rFonts w:ascii="Avenir Next" w:hAnsi="Avenir Next"/>
          <w:sz w:val="24"/>
          <w:szCs w:val="24"/>
        </w:rPr>
        <w:t xml:space="preserve"> estaba compuesta por cinco bombillos marca Tecno Lite</w:t>
      </w:r>
      <w:r w:rsidRPr="002667B2">
        <w:rPr>
          <w:rFonts w:ascii="Avenir Next" w:hAnsi="Avenir Next"/>
          <w:sz w:val="24"/>
          <w:szCs w:val="24"/>
          <w:vertAlign w:val="superscript"/>
        </w:rPr>
        <w:t>®</w:t>
      </w:r>
      <w:r w:rsidRPr="002667B2">
        <w:rPr>
          <w:rFonts w:ascii="Avenir Next" w:hAnsi="Avenir Next"/>
          <w:sz w:val="24"/>
          <w:szCs w:val="24"/>
        </w:rPr>
        <w:t xml:space="preserve"> de 20 W de potencia promedio cada una. La información espectral de la radiación UV se produce a una longitud de onda superior a los 350 nm. </w:t>
      </w:r>
    </w:p>
    <w:p w14:paraId="7FB35433"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Una buena fotografía implica una buena iluminación, por lo </w:t>
      </w:r>
      <w:r w:rsidR="001A2EB8" w:rsidRPr="002667B2">
        <w:rPr>
          <w:rFonts w:ascii="Avenir Next" w:hAnsi="Avenir Next"/>
          <w:sz w:val="24"/>
          <w:szCs w:val="24"/>
        </w:rPr>
        <w:t>tanto,</w:t>
      </w:r>
      <w:r w:rsidRPr="002667B2">
        <w:rPr>
          <w:rFonts w:ascii="Avenir Next" w:hAnsi="Avenir Next"/>
          <w:sz w:val="24"/>
          <w:szCs w:val="24"/>
        </w:rPr>
        <w:t xml:space="preserve"> se buscó que la luz que incide sobre las obras fuera lo más uniforme posible. Por consiguiente, se cuantificó la intensidad </w:t>
      </w:r>
      <w:r w:rsidR="00580BAA">
        <w:rPr>
          <w:rFonts w:ascii="Avenir Next" w:hAnsi="Avenir Next"/>
          <w:sz w:val="24"/>
          <w:szCs w:val="24"/>
        </w:rPr>
        <w:t>luminosa</w:t>
      </w:r>
      <w:r w:rsidRPr="002667B2">
        <w:rPr>
          <w:rFonts w:ascii="Avenir Next" w:hAnsi="Avenir Next"/>
          <w:sz w:val="24"/>
          <w:szCs w:val="24"/>
        </w:rPr>
        <w:t xml:space="preserve"> con el instrumento DataLogging LightMeter en diferentes zonas de las obras con el fin de resguardarlas, ya que un largo tiempo de exposición puede provocar un deterioro gradual (Berrie y Strumfels, 2017). Según la información de la literatura consultada, el máximo nivel de iluminación para las obras en acuarela corresponde a 50 lux (1 lux = 1 lm/m</w:t>
      </w:r>
      <w:r w:rsidRPr="002667B2">
        <w:rPr>
          <w:rFonts w:ascii="Avenir Next" w:hAnsi="Avenir Next"/>
          <w:sz w:val="24"/>
          <w:szCs w:val="24"/>
          <w:vertAlign w:val="superscript"/>
        </w:rPr>
        <w:t>2</w:t>
      </w:r>
      <w:r w:rsidRPr="002667B2">
        <w:rPr>
          <w:rFonts w:ascii="Avenir Next" w:hAnsi="Avenir Next"/>
          <w:sz w:val="24"/>
          <w:szCs w:val="24"/>
        </w:rPr>
        <w:t xml:space="preserve">) (Paine y Ambrose, 2012). En </w:t>
      </w:r>
      <w:r w:rsidRPr="002667B2">
        <w:rPr>
          <w:rFonts w:ascii="Avenir Next" w:hAnsi="Avenir Next"/>
          <w:sz w:val="24"/>
          <w:szCs w:val="24"/>
        </w:rPr>
        <w:lastRenderedPageBreak/>
        <w:t xml:space="preserve">consecuencia, se buscó que la intensidad de la luz sobre la obra fuera lo más baja posible, donde el mejor escenario correspondió a 10 lux al usar como difusor casero la tela lineta para las fotografías en VIS. En el caso de las fotografías en UV, la exposición de la luz correspondió a 8 lux. </w:t>
      </w:r>
    </w:p>
    <w:p w14:paraId="1DB21E9E"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Con el propósito de obtener una </w:t>
      </w:r>
      <w:r w:rsidR="001A2EB8" w:rsidRPr="002667B2">
        <w:rPr>
          <w:rFonts w:ascii="Avenir Next" w:hAnsi="Avenir Next"/>
          <w:sz w:val="24"/>
          <w:szCs w:val="24"/>
        </w:rPr>
        <w:t>imagen</w:t>
      </w:r>
      <w:r w:rsidRPr="002667B2">
        <w:rPr>
          <w:rFonts w:ascii="Avenir Next" w:hAnsi="Avenir Next"/>
          <w:sz w:val="24"/>
          <w:szCs w:val="24"/>
        </w:rPr>
        <w:t xml:space="preserve"> en alta resolución de las obras fue necesario capturar fotografías individuales que posteriormente se agrupan para formar la fotografía panorámica de la obra. La cantidad de fotos individuales se determinó de acuerdo con el área del campo visual percibida por la cámara y la resolución de las imágenes obtenidas, las cuales varían de acuerdo con la distancia de la obra a la cámara. En el caso de la obra </w:t>
      </w:r>
      <w:r w:rsidRPr="002667B2">
        <w:rPr>
          <w:rFonts w:ascii="Avenir Next" w:hAnsi="Avenir Next"/>
          <w:i/>
          <w:sz w:val="24"/>
          <w:szCs w:val="24"/>
        </w:rPr>
        <w:t>Paisaje con casa campesina</w:t>
      </w:r>
      <w:r w:rsidRPr="002667B2">
        <w:rPr>
          <w:rFonts w:ascii="Avenir Next" w:hAnsi="Avenir Next"/>
          <w:sz w:val="24"/>
          <w:szCs w:val="24"/>
        </w:rPr>
        <w:t xml:space="preserve">, el área abarcada por cada </w:t>
      </w:r>
      <w:r w:rsidR="001A2EB8" w:rsidRPr="002667B2">
        <w:rPr>
          <w:rFonts w:ascii="Avenir Next" w:hAnsi="Avenir Next"/>
          <w:sz w:val="24"/>
          <w:szCs w:val="24"/>
        </w:rPr>
        <w:t>imagen</w:t>
      </w:r>
      <w:r w:rsidRPr="002667B2">
        <w:rPr>
          <w:rFonts w:ascii="Avenir Next" w:hAnsi="Avenir Next"/>
          <w:sz w:val="24"/>
          <w:szCs w:val="24"/>
        </w:rPr>
        <w:t xml:space="preserve"> individual corresponde a aproximadamente 6 m</w:t>
      </w:r>
      <w:r w:rsidRPr="002667B2">
        <w:rPr>
          <w:rFonts w:ascii="Avenir Next" w:hAnsi="Avenir Next"/>
          <w:sz w:val="24"/>
          <w:szCs w:val="24"/>
          <w:vertAlign w:val="superscript"/>
        </w:rPr>
        <w:t>2</w:t>
      </w:r>
      <w:r w:rsidRPr="002667B2">
        <w:rPr>
          <w:rFonts w:ascii="Avenir Next" w:hAnsi="Avenir Next"/>
          <w:sz w:val="24"/>
          <w:szCs w:val="24"/>
        </w:rPr>
        <w:t xml:space="preserve"> posicionada a 36 cm de distancia de la cámara. Para la obra </w:t>
      </w:r>
      <w:r w:rsidRPr="002667B2">
        <w:rPr>
          <w:rFonts w:ascii="Avenir Next" w:hAnsi="Avenir Next"/>
          <w:i/>
          <w:sz w:val="24"/>
          <w:szCs w:val="24"/>
        </w:rPr>
        <w:t>El puente</w:t>
      </w:r>
      <w:r w:rsidRPr="002667B2">
        <w:rPr>
          <w:rFonts w:ascii="Avenir Next" w:hAnsi="Avenir Next"/>
          <w:sz w:val="24"/>
          <w:szCs w:val="24"/>
        </w:rPr>
        <w:t xml:space="preserve">, la distancia entre la obra y la cámara corresponde a 30 cm; el área captada corresponde </w:t>
      </w:r>
      <w:r w:rsidR="00580BAA">
        <w:rPr>
          <w:rFonts w:ascii="Avenir Next" w:hAnsi="Avenir Next"/>
          <w:sz w:val="24"/>
          <w:szCs w:val="24"/>
        </w:rPr>
        <w:t>alrededor de</w:t>
      </w:r>
      <w:r w:rsidRPr="002667B2">
        <w:rPr>
          <w:rFonts w:ascii="Avenir Next" w:hAnsi="Avenir Next"/>
          <w:sz w:val="24"/>
          <w:szCs w:val="24"/>
        </w:rPr>
        <w:t xml:space="preserve"> 2 m</w:t>
      </w:r>
      <w:r w:rsidRPr="002667B2">
        <w:rPr>
          <w:rFonts w:ascii="Avenir Next" w:hAnsi="Avenir Next"/>
          <w:sz w:val="24"/>
          <w:szCs w:val="24"/>
          <w:vertAlign w:val="superscript"/>
        </w:rPr>
        <w:t>2</w:t>
      </w:r>
      <w:r w:rsidRPr="002667B2">
        <w:rPr>
          <w:rFonts w:ascii="Avenir Next" w:hAnsi="Avenir Next"/>
          <w:sz w:val="24"/>
          <w:szCs w:val="24"/>
        </w:rPr>
        <w:t>.</w:t>
      </w:r>
    </w:p>
    <w:p w14:paraId="554D5110"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Asimismo, se consideró el traslape que corresponde a una superposición parcial entre las fotos individuales la cual permite unirlas en una sola pieza. El porcentaje de traslape entre dos fotografías consecutivas es variable. En el caso de las obras en estudio, se utilizó un traslape de un mínimo del 5 % de área, con el cual fue posible traslapar las imágenes consecutivas sin problema (Cosentino, 2015b). De acuerdo con lo anterior, fue necesario adquirir cuatro fotos individuales para </w:t>
      </w:r>
      <w:r w:rsidRPr="002667B2">
        <w:rPr>
          <w:rFonts w:ascii="Avenir Next" w:hAnsi="Avenir Next"/>
          <w:i/>
          <w:sz w:val="24"/>
          <w:szCs w:val="24"/>
        </w:rPr>
        <w:t>Paisaje con casa campesina</w:t>
      </w:r>
      <w:r w:rsidRPr="002667B2">
        <w:rPr>
          <w:rFonts w:ascii="Avenir Next" w:hAnsi="Avenir Next"/>
          <w:sz w:val="24"/>
          <w:szCs w:val="24"/>
        </w:rPr>
        <w:t xml:space="preserve">. Por otro lado, en el caso de </w:t>
      </w:r>
      <w:r w:rsidRPr="002667B2">
        <w:rPr>
          <w:rFonts w:ascii="Avenir Next" w:hAnsi="Avenir Next"/>
          <w:i/>
          <w:sz w:val="24"/>
          <w:szCs w:val="24"/>
        </w:rPr>
        <w:t>El puente</w:t>
      </w:r>
      <w:r w:rsidRPr="002667B2">
        <w:rPr>
          <w:rFonts w:ascii="Avenir Next" w:hAnsi="Avenir Next"/>
          <w:sz w:val="24"/>
          <w:szCs w:val="24"/>
        </w:rPr>
        <w:t xml:space="preserve">, se capturaron tres fotografías individuales. Las imágenes capturadas se almacenaron en formato digital RAW para su posterior procesamiento. </w:t>
      </w:r>
    </w:p>
    <w:p w14:paraId="122BBF76"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Toda la optimización del equipo se realizó con las obras en sus respectivos marcos y marialuisas. </w:t>
      </w:r>
      <w:r w:rsidR="009E7AA2">
        <w:rPr>
          <w:rFonts w:ascii="Avenir Next" w:hAnsi="Avenir Next"/>
          <w:sz w:val="24"/>
          <w:szCs w:val="24"/>
        </w:rPr>
        <w:t>De forma experimental</w:t>
      </w:r>
      <w:r w:rsidRPr="002667B2">
        <w:rPr>
          <w:rFonts w:ascii="Avenir Next" w:hAnsi="Avenir Next"/>
          <w:sz w:val="24"/>
          <w:szCs w:val="24"/>
        </w:rPr>
        <w:t xml:space="preserve">, se encontraron los valores de ISO, apertura y tiempo de exposición para obtener las imágenes con mayor nitidez y calidad. Los parámetros óptimos para los objetos en estudio tuvieron los siguientes valores: para las fotografías en VIS: ISO 200, f5 y 1/4 s de tiempo de exposición para </w:t>
      </w:r>
      <w:r w:rsidRPr="002667B2">
        <w:rPr>
          <w:rFonts w:ascii="Avenir Next" w:hAnsi="Avenir Next"/>
          <w:i/>
          <w:sz w:val="24"/>
          <w:szCs w:val="24"/>
        </w:rPr>
        <w:t>Paisaje con casa campesina</w:t>
      </w:r>
      <w:r w:rsidRPr="002667B2">
        <w:rPr>
          <w:rFonts w:ascii="Avenir Next" w:hAnsi="Avenir Next"/>
          <w:sz w:val="24"/>
          <w:szCs w:val="24"/>
        </w:rPr>
        <w:t xml:space="preserve"> y f8, ISO 200, 1/5 s de tiempo de exposición para </w:t>
      </w:r>
      <w:r w:rsidRPr="002667B2">
        <w:rPr>
          <w:rFonts w:ascii="Avenir Next" w:hAnsi="Avenir Next"/>
          <w:i/>
          <w:sz w:val="24"/>
          <w:szCs w:val="24"/>
        </w:rPr>
        <w:t>El puente</w:t>
      </w:r>
      <w:r w:rsidRPr="002667B2">
        <w:rPr>
          <w:rFonts w:ascii="Avenir Next" w:hAnsi="Avenir Next"/>
          <w:sz w:val="24"/>
          <w:szCs w:val="24"/>
        </w:rPr>
        <w:t xml:space="preserve">. En el caso de las fotografías en UV los parámetros fueron: ISO 200, f10 y 8 s de tiempo de exposición para </w:t>
      </w:r>
      <w:r w:rsidRPr="002667B2">
        <w:rPr>
          <w:rFonts w:ascii="Avenir Next" w:hAnsi="Avenir Next"/>
          <w:i/>
          <w:sz w:val="24"/>
          <w:szCs w:val="24"/>
        </w:rPr>
        <w:t>Paisaje con casa campesina</w:t>
      </w:r>
      <w:r w:rsidRPr="002667B2">
        <w:rPr>
          <w:rFonts w:ascii="Avenir Next" w:hAnsi="Avenir Next"/>
          <w:sz w:val="24"/>
          <w:szCs w:val="24"/>
        </w:rPr>
        <w:t xml:space="preserve"> y f13, ISO 200 y 10 s de tiempo de exposición para </w:t>
      </w:r>
      <w:r w:rsidRPr="002667B2">
        <w:rPr>
          <w:rFonts w:ascii="Avenir Next" w:hAnsi="Avenir Next"/>
          <w:i/>
          <w:sz w:val="24"/>
          <w:szCs w:val="24"/>
        </w:rPr>
        <w:t>El puente</w:t>
      </w:r>
      <w:r w:rsidRPr="002667B2">
        <w:rPr>
          <w:rFonts w:ascii="Avenir Next" w:hAnsi="Avenir Next"/>
          <w:sz w:val="24"/>
          <w:szCs w:val="24"/>
        </w:rPr>
        <w:t>. Una vez establecidos los mejores parámetros ópticos experimentales se procedió a desmontar las obras del marco y la marialuisa.</w:t>
      </w:r>
    </w:p>
    <w:p w14:paraId="335CD3E1"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Se utilizó el siguiente proceso de edición para los archivos RAW (como .NEF) de las imágenes VIS y UV. Para las imágenes VIS se realizó un balance de blancos con la referencia Robin Myres Imaging (RMI) Conservation Target</w:t>
      </w:r>
      <w:r w:rsidRPr="002667B2">
        <w:rPr>
          <w:rFonts w:ascii="Avenir Next" w:hAnsi="Avenir Next"/>
          <w:sz w:val="24"/>
          <w:szCs w:val="24"/>
          <w:vertAlign w:val="superscript"/>
        </w:rPr>
        <w:t>®</w:t>
      </w:r>
      <w:r w:rsidRPr="002667B2">
        <w:rPr>
          <w:rFonts w:ascii="Avenir Next" w:hAnsi="Avenir Next"/>
          <w:sz w:val="24"/>
          <w:szCs w:val="24"/>
        </w:rPr>
        <w:t>, junto con el perfil de parámetros de lente adecuado en Adobe Ligthroom Classic</w:t>
      </w:r>
      <w:r w:rsidRPr="002667B2">
        <w:rPr>
          <w:rFonts w:ascii="Avenir Next" w:hAnsi="Avenir Next"/>
          <w:sz w:val="24"/>
          <w:szCs w:val="24"/>
          <w:vertAlign w:val="superscript"/>
        </w:rPr>
        <w:t>®</w:t>
      </w:r>
      <w:r w:rsidRPr="002667B2">
        <w:rPr>
          <w:rFonts w:ascii="Avenir Next" w:hAnsi="Avenir Next"/>
          <w:sz w:val="24"/>
          <w:szCs w:val="24"/>
        </w:rPr>
        <w:t xml:space="preserve"> y Adobe Photoshop</w:t>
      </w:r>
      <w:r w:rsidRPr="002667B2">
        <w:rPr>
          <w:rFonts w:ascii="Avenir Next" w:hAnsi="Avenir Next"/>
          <w:sz w:val="24"/>
          <w:szCs w:val="24"/>
          <w:vertAlign w:val="superscript"/>
        </w:rPr>
        <w:t>®</w:t>
      </w:r>
      <w:r w:rsidRPr="002667B2">
        <w:rPr>
          <w:rFonts w:ascii="Avenir Next" w:hAnsi="Avenir Next"/>
          <w:sz w:val="24"/>
          <w:szCs w:val="24"/>
        </w:rPr>
        <w:t>. En el caso de las imágenes UV se le aplicó el perfil de parámetros de lente adecuado. Cada nueva imagen de VIS y UV se exportaron en formato .TIFF y se utilizaron para crear un panorama de alta resolución de toda la obra utilizando Adobe Lightroom Classic</w:t>
      </w:r>
      <w:r w:rsidRPr="002667B2">
        <w:rPr>
          <w:rFonts w:ascii="Avenir Next" w:hAnsi="Avenir Next"/>
          <w:sz w:val="24"/>
          <w:szCs w:val="24"/>
          <w:vertAlign w:val="superscript"/>
        </w:rPr>
        <w:t>®</w:t>
      </w:r>
      <w:r w:rsidRPr="002667B2">
        <w:rPr>
          <w:rFonts w:ascii="Avenir Next" w:hAnsi="Avenir Next"/>
          <w:sz w:val="24"/>
          <w:szCs w:val="24"/>
        </w:rPr>
        <w:t xml:space="preserve">. Cabe destacar que la metodología descrita se aplicó tanto para las fotografías del anverso como para el reverso de las obras. </w:t>
      </w:r>
    </w:p>
    <w:p w14:paraId="0B39398E"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t>Selección de zonas de interés</w:t>
      </w:r>
    </w:p>
    <w:p w14:paraId="2D61B5C2" w14:textId="38E60D31" w:rsidR="00144113" w:rsidRPr="002667B2" w:rsidRDefault="00AA5394">
      <w:pPr>
        <w:spacing w:after="200" w:line="240" w:lineRule="auto"/>
        <w:jc w:val="both"/>
        <w:rPr>
          <w:rFonts w:ascii="Avenir Next" w:hAnsi="Avenir Next"/>
          <w:b/>
          <w:sz w:val="24"/>
          <w:szCs w:val="24"/>
        </w:rPr>
      </w:pPr>
      <w:r w:rsidRPr="002667B2">
        <w:rPr>
          <w:rFonts w:ascii="Avenir Next" w:hAnsi="Avenir Next"/>
          <w:sz w:val="24"/>
          <w:szCs w:val="24"/>
        </w:rPr>
        <w:t xml:space="preserve">El establecimiento de zonas de interés es de </w:t>
      </w:r>
      <w:r w:rsidR="007B3547">
        <w:rPr>
          <w:rFonts w:ascii="Avenir Next" w:hAnsi="Avenir Next"/>
          <w:sz w:val="24"/>
          <w:szCs w:val="24"/>
        </w:rPr>
        <w:t>gran interés</w:t>
      </w:r>
      <w:r w:rsidRPr="002667B2">
        <w:rPr>
          <w:rFonts w:ascii="Avenir Next" w:hAnsi="Avenir Next"/>
          <w:sz w:val="24"/>
          <w:szCs w:val="24"/>
        </w:rPr>
        <w:t xml:space="preserve"> ya que a partir de ellas es posible enfocar las mediciones en regiones características de las obras y también para realizar muestreos más eficientes. El uso de una herramienta computacional basada en MSI puede ofrecer una nueva perspectiva en el estudio del arte. Para lo anterior se utilizó el programa computacional </w:t>
      </w:r>
      <w:r w:rsidRPr="00CE4E35">
        <w:rPr>
          <w:rFonts w:ascii="Avenir Next" w:hAnsi="Avenir Next"/>
          <w:iCs/>
          <w:sz w:val="24"/>
          <w:szCs w:val="24"/>
        </w:rPr>
        <w:t>RegionsOfInterest</w:t>
      </w:r>
      <w:r w:rsidRPr="002667B2">
        <w:rPr>
          <w:rFonts w:ascii="Avenir Next" w:hAnsi="Avenir Next"/>
          <w:i/>
          <w:sz w:val="24"/>
          <w:szCs w:val="24"/>
        </w:rPr>
        <w:t xml:space="preserve"> </w:t>
      </w:r>
      <w:r w:rsidRPr="002667B2">
        <w:rPr>
          <w:rFonts w:ascii="Avenir Next" w:hAnsi="Avenir Next"/>
          <w:sz w:val="24"/>
          <w:szCs w:val="24"/>
        </w:rPr>
        <w:t xml:space="preserve">(disponible de forma gratuita en el repositorio de GitHub </w:t>
      </w:r>
      <w:hyperlink r:id="rId19">
        <w:r w:rsidRPr="002667B2">
          <w:rPr>
            <w:rFonts w:ascii="Avenir Next" w:hAnsi="Avenir Next"/>
            <w:color w:val="1155CC"/>
            <w:sz w:val="24"/>
            <w:szCs w:val="24"/>
            <w:u w:val="single"/>
          </w:rPr>
          <w:t>https://github.com/andress5990/16_Intensity_Analysis</w:t>
        </w:r>
      </w:hyperlink>
      <w:r w:rsidRPr="002667B2">
        <w:rPr>
          <w:rFonts w:ascii="Avenir Next" w:hAnsi="Avenir Next"/>
          <w:sz w:val="24"/>
          <w:szCs w:val="24"/>
        </w:rPr>
        <w:t>)</w:t>
      </w:r>
      <w:r w:rsidRPr="002667B2">
        <w:rPr>
          <w:rFonts w:ascii="Avenir Next" w:hAnsi="Avenir Next"/>
          <w:i/>
          <w:sz w:val="24"/>
          <w:szCs w:val="24"/>
        </w:rPr>
        <w:t xml:space="preserve"> </w:t>
      </w:r>
      <w:r w:rsidRPr="002667B2">
        <w:rPr>
          <w:rFonts w:ascii="Avenir Next" w:hAnsi="Avenir Next"/>
          <w:sz w:val="24"/>
          <w:szCs w:val="24"/>
        </w:rPr>
        <w:t xml:space="preserve">para identificar distribuciones de color </w:t>
      </w:r>
      <w:r w:rsidRPr="002667B2">
        <w:rPr>
          <w:rFonts w:ascii="Avenir Next" w:hAnsi="Avenir Next"/>
          <w:sz w:val="24"/>
          <w:szCs w:val="24"/>
        </w:rPr>
        <w:lastRenderedPageBreak/>
        <w:t xml:space="preserve">que puedan brindar información sobre la paleta pictórica y </w:t>
      </w:r>
      <w:r w:rsidR="00CE4E35">
        <w:rPr>
          <w:rFonts w:ascii="Avenir Next" w:hAnsi="Avenir Next"/>
          <w:sz w:val="24"/>
          <w:szCs w:val="24"/>
        </w:rPr>
        <w:t xml:space="preserve">el </w:t>
      </w:r>
      <w:r w:rsidRPr="002667B2">
        <w:rPr>
          <w:rFonts w:ascii="Avenir Next" w:hAnsi="Avenir Next"/>
          <w:sz w:val="24"/>
          <w:szCs w:val="24"/>
        </w:rPr>
        <w:t xml:space="preserve">proceso creativo del artista (Barrantes-Madrigal </w:t>
      </w:r>
      <w:r w:rsidRPr="002667B2">
        <w:rPr>
          <w:rFonts w:ascii="Avenir Next" w:hAnsi="Avenir Next"/>
          <w:iCs/>
          <w:sz w:val="24"/>
          <w:szCs w:val="24"/>
        </w:rPr>
        <w:t>et al.,</w:t>
      </w:r>
      <w:r w:rsidRPr="002667B2">
        <w:rPr>
          <w:rFonts w:ascii="Avenir Next" w:hAnsi="Avenir Next"/>
          <w:sz w:val="24"/>
          <w:szCs w:val="24"/>
        </w:rPr>
        <w:t xml:space="preserve"> 2021).</w:t>
      </w:r>
    </w:p>
    <w:p w14:paraId="4647F316" w14:textId="5145766C" w:rsidR="00454FAC" w:rsidRPr="00835207" w:rsidRDefault="00AA5394" w:rsidP="00835207">
      <w:pPr>
        <w:spacing w:after="200" w:line="240" w:lineRule="auto"/>
        <w:jc w:val="both"/>
        <w:rPr>
          <w:rFonts w:ascii="Avenir Next" w:hAnsi="Avenir Next"/>
          <w:sz w:val="24"/>
          <w:szCs w:val="24"/>
        </w:rPr>
      </w:pPr>
      <w:r w:rsidRPr="002667B2">
        <w:rPr>
          <w:rFonts w:ascii="Avenir Next" w:hAnsi="Avenir Next"/>
          <w:sz w:val="24"/>
          <w:szCs w:val="24"/>
        </w:rPr>
        <w:t xml:space="preserve">El funcionamiento de </w:t>
      </w:r>
      <w:r w:rsidR="007B3547" w:rsidRPr="007B3547">
        <w:rPr>
          <w:rFonts w:ascii="Avenir Next" w:hAnsi="Avenir Next"/>
          <w:sz w:val="24"/>
          <w:szCs w:val="24"/>
        </w:rPr>
        <w:t>dicha</w:t>
      </w:r>
      <w:r w:rsidRPr="007B3547">
        <w:rPr>
          <w:rFonts w:ascii="Avenir Next" w:hAnsi="Avenir Next"/>
          <w:sz w:val="24"/>
          <w:szCs w:val="24"/>
        </w:rPr>
        <w:t xml:space="preserve"> herramienta</w:t>
      </w:r>
      <w:r w:rsidRPr="002667B2">
        <w:rPr>
          <w:rFonts w:ascii="Avenir Next" w:hAnsi="Avenir Next"/>
          <w:sz w:val="24"/>
          <w:szCs w:val="24"/>
        </w:rPr>
        <w:t xml:space="preserve"> computacional se describe a continuación (ver figura 4): primero, la imagen completa de la obra se ejecuta y carga en la herramienta computacional, </w:t>
      </w:r>
      <w:r w:rsidR="007B3547">
        <w:rPr>
          <w:rFonts w:ascii="Avenir Next" w:hAnsi="Avenir Next"/>
          <w:sz w:val="24"/>
          <w:szCs w:val="24"/>
        </w:rPr>
        <w:t xml:space="preserve">a </w:t>
      </w:r>
      <w:r w:rsidR="007B3547" w:rsidRPr="00F95CEA">
        <w:rPr>
          <w:rFonts w:ascii="Avenir Next" w:hAnsi="Avenir Next"/>
          <w:sz w:val="24"/>
          <w:szCs w:val="24"/>
        </w:rPr>
        <w:t>continuación</w:t>
      </w:r>
      <w:r w:rsidR="00D71825" w:rsidRPr="00F95CEA">
        <w:rPr>
          <w:rFonts w:ascii="Avenir Next" w:hAnsi="Avenir Next"/>
          <w:sz w:val="24"/>
          <w:szCs w:val="24"/>
        </w:rPr>
        <w:t>,</w:t>
      </w:r>
      <w:r w:rsidRPr="00F95CEA">
        <w:rPr>
          <w:rFonts w:ascii="Avenir Next" w:hAnsi="Avenir Next"/>
          <w:sz w:val="24"/>
          <w:szCs w:val="24"/>
        </w:rPr>
        <w:t xml:space="preserve"> se selecciona un área de la fotografía con el fin de determinar la distribución espacial del color. </w:t>
      </w:r>
      <w:r w:rsidR="00D71825" w:rsidRPr="00F95CEA">
        <w:rPr>
          <w:rFonts w:ascii="Avenir Next" w:hAnsi="Avenir Next"/>
          <w:sz w:val="24"/>
          <w:szCs w:val="24"/>
        </w:rPr>
        <w:t>E</w:t>
      </w:r>
      <w:r w:rsidRPr="00F95CEA">
        <w:rPr>
          <w:rFonts w:ascii="Avenir Next" w:hAnsi="Avenir Next"/>
          <w:sz w:val="24"/>
          <w:szCs w:val="24"/>
        </w:rPr>
        <w:t xml:space="preserve">l programa estima el histograma (distribución espectral) de la intensidad en la región señalada para compararla con todas las secciones de la obra. Por lo tanto, la aplicación informática </w:t>
      </w:r>
      <w:r w:rsidRPr="009A7E7F">
        <w:rPr>
          <w:rFonts w:ascii="Avenir Next" w:hAnsi="Avenir Next"/>
          <w:iCs/>
          <w:sz w:val="24"/>
          <w:szCs w:val="24"/>
        </w:rPr>
        <w:t>RegionsOfInterest</w:t>
      </w:r>
      <w:r w:rsidRPr="00F95CEA">
        <w:rPr>
          <w:rFonts w:ascii="Avenir Next" w:hAnsi="Avenir Next"/>
          <w:sz w:val="24"/>
          <w:szCs w:val="24"/>
        </w:rPr>
        <w:t xml:space="preserve"> muestra regiones en el rango de intensidad</w:t>
      </w:r>
      <w:r w:rsidR="00D71825" w:rsidRPr="00F95CEA">
        <w:rPr>
          <w:rFonts w:ascii="Avenir Next" w:hAnsi="Avenir Next"/>
          <w:sz w:val="24"/>
          <w:szCs w:val="24"/>
        </w:rPr>
        <w:t>,</w:t>
      </w:r>
      <w:r w:rsidRPr="00F95CEA">
        <w:rPr>
          <w:rFonts w:ascii="Avenir Next" w:hAnsi="Avenir Next"/>
          <w:sz w:val="24"/>
          <w:szCs w:val="24"/>
        </w:rPr>
        <w:t xml:space="preserve"> especificado previamente</w:t>
      </w:r>
      <w:r w:rsidR="00D71825" w:rsidRPr="00F95CEA">
        <w:rPr>
          <w:rFonts w:ascii="Avenir Next" w:hAnsi="Avenir Next"/>
          <w:sz w:val="24"/>
          <w:szCs w:val="24"/>
        </w:rPr>
        <w:t>,</w:t>
      </w:r>
      <w:r w:rsidRPr="00F95CEA">
        <w:rPr>
          <w:rFonts w:ascii="Avenir Next" w:hAnsi="Avenir Next"/>
          <w:sz w:val="24"/>
          <w:szCs w:val="24"/>
        </w:rPr>
        <w:t xml:space="preserve"> en</w:t>
      </w:r>
      <w:r w:rsidRPr="002667B2">
        <w:rPr>
          <w:rFonts w:ascii="Avenir Next" w:hAnsi="Avenir Next"/>
          <w:sz w:val="24"/>
          <w:szCs w:val="24"/>
        </w:rPr>
        <w:t xml:space="preserve"> la obra de arte como un todo (Barrantes-Madrigal </w:t>
      </w:r>
      <w:r w:rsidRPr="002667B2">
        <w:rPr>
          <w:rFonts w:ascii="Avenir Next" w:hAnsi="Avenir Next"/>
          <w:iCs/>
          <w:sz w:val="24"/>
          <w:szCs w:val="24"/>
        </w:rPr>
        <w:t>et al.,</w:t>
      </w:r>
      <w:r w:rsidRPr="002667B2">
        <w:rPr>
          <w:rFonts w:ascii="Avenir Next" w:hAnsi="Avenir Next"/>
          <w:sz w:val="24"/>
          <w:szCs w:val="24"/>
        </w:rPr>
        <w:t xml:space="preserve"> 2021).</w:t>
      </w:r>
    </w:p>
    <w:p w14:paraId="706BA789" w14:textId="77777777" w:rsidR="00D92F0A" w:rsidRPr="00D92F0A" w:rsidRDefault="00AA5394" w:rsidP="00835207">
      <w:pPr>
        <w:spacing w:after="200" w:line="240" w:lineRule="auto"/>
        <w:jc w:val="center"/>
        <w:rPr>
          <w:rFonts w:ascii="Avenir Next" w:hAnsi="Avenir Next"/>
          <w:b/>
          <w:sz w:val="23"/>
          <w:szCs w:val="23"/>
        </w:rPr>
      </w:pPr>
      <w:r w:rsidRPr="00D92F0A">
        <w:rPr>
          <w:rFonts w:ascii="Avenir Next" w:hAnsi="Avenir Next"/>
          <w:b/>
          <w:sz w:val="23"/>
          <w:szCs w:val="23"/>
        </w:rPr>
        <w:t>Figura 4</w:t>
      </w:r>
      <w:r w:rsidRPr="00D92F0A">
        <w:rPr>
          <w:rFonts w:ascii="Avenir Next" w:hAnsi="Avenir Next"/>
          <w:sz w:val="23"/>
          <w:szCs w:val="23"/>
        </w:rPr>
        <w:t xml:space="preserve">. </w:t>
      </w:r>
      <w:r w:rsidRPr="00D92F0A">
        <w:rPr>
          <w:rFonts w:ascii="Avenir Next" w:hAnsi="Avenir Next"/>
          <w:b/>
          <w:sz w:val="23"/>
          <w:szCs w:val="23"/>
        </w:rPr>
        <w:t xml:space="preserve"> </w:t>
      </w:r>
    </w:p>
    <w:p w14:paraId="22B90AE8" w14:textId="6D07222F" w:rsidR="00144113" w:rsidRPr="00D92F0A" w:rsidRDefault="00AA5394" w:rsidP="00835207">
      <w:pPr>
        <w:spacing w:after="200" w:line="240" w:lineRule="auto"/>
        <w:jc w:val="center"/>
        <w:rPr>
          <w:rFonts w:ascii="Avenir Next" w:hAnsi="Avenir Next"/>
          <w:i/>
          <w:sz w:val="23"/>
          <w:szCs w:val="23"/>
        </w:rPr>
      </w:pPr>
      <w:r w:rsidRPr="00D92F0A">
        <w:rPr>
          <w:rFonts w:ascii="Avenir Next" w:hAnsi="Avenir Next"/>
          <w:b/>
          <w:i/>
          <w:sz w:val="23"/>
          <w:szCs w:val="23"/>
        </w:rPr>
        <w:t>Ejecución del software RegionsOfInterest.</w:t>
      </w:r>
      <w:r w:rsidRPr="00D92F0A">
        <w:rPr>
          <w:rFonts w:ascii="Avenir Next" w:hAnsi="Avenir Next"/>
          <w:i/>
          <w:sz w:val="23"/>
          <w:szCs w:val="23"/>
        </w:rPr>
        <w:t xml:space="preserve"> </w:t>
      </w:r>
      <w:r w:rsidRPr="00D92F0A">
        <w:rPr>
          <w:rFonts w:ascii="Avenir Next" w:hAnsi="Avenir Next"/>
          <w:b/>
          <w:i/>
          <w:sz w:val="23"/>
          <w:szCs w:val="23"/>
        </w:rPr>
        <w:t>A)</w:t>
      </w:r>
      <w:r w:rsidRPr="00D92F0A">
        <w:rPr>
          <w:rFonts w:ascii="Avenir Next" w:hAnsi="Avenir Next"/>
          <w:i/>
          <w:sz w:val="23"/>
          <w:szCs w:val="23"/>
        </w:rPr>
        <w:t xml:space="preserve"> El programa abre la imagen para la inspección general. </w:t>
      </w:r>
      <w:r w:rsidRPr="00D92F0A">
        <w:rPr>
          <w:rFonts w:ascii="Avenir Next" w:hAnsi="Avenir Next"/>
          <w:b/>
          <w:i/>
          <w:sz w:val="23"/>
          <w:szCs w:val="23"/>
        </w:rPr>
        <w:t>B)</w:t>
      </w:r>
      <w:r w:rsidRPr="00D92F0A">
        <w:rPr>
          <w:rFonts w:ascii="Avenir Next" w:hAnsi="Avenir Next"/>
          <w:i/>
          <w:sz w:val="23"/>
          <w:szCs w:val="23"/>
        </w:rPr>
        <w:t xml:space="preserve"> En la primera etapa, se define una zona de interés en la que se dibuja un contorno para seleccionar el área de análisis. </w:t>
      </w:r>
      <w:r w:rsidRPr="00D92F0A">
        <w:rPr>
          <w:rFonts w:ascii="Avenir Next" w:hAnsi="Avenir Next"/>
          <w:b/>
          <w:i/>
          <w:sz w:val="23"/>
          <w:szCs w:val="23"/>
        </w:rPr>
        <w:t>C)</w:t>
      </w:r>
      <w:r w:rsidRPr="00D92F0A">
        <w:rPr>
          <w:rFonts w:ascii="Avenir Next" w:hAnsi="Avenir Next"/>
          <w:i/>
          <w:sz w:val="23"/>
          <w:szCs w:val="23"/>
        </w:rPr>
        <w:t xml:space="preserve"> El programa convierte los píxeles seleccionados del HSV al espacio de Intensidad y genera automáticamente un histograma de Cuentas vs. Intensidad el cual muestra la distribución de la intensidad de los píxeles entre 0 y 255</w:t>
      </w:r>
      <w:r w:rsidR="0000216A" w:rsidRPr="00D92F0A">
        <w:rPr>
          <w:rFonts w:ascii="Avenir Next" w:hAnsi="Avenir Next"/>
          <w:i/>
          <w:sz w:val="23"/>
          <w:szCs w:val="23"/>
        </w:rPr>
        <w:t xml:space="preserve"> y se elige un rango de intensidad a trabajar a partir del histograma. </w:t>
      </w:r>
      <w:r w:rsidRPr="00D92F0A">
        <w:rPr>
          <w:rFonts w:ascii="Avenir Next" w:hAnsi="Avenir Next"/>
          <w:b/>
          <w:i/>
          <w:sz w:val="23"/>
          <w:szCs w:val="23"/>
        </w:rPr>
        <w:t>D)</w:t>
      </w:r>
      <w:r w:rsidRPr="00D92F0A">
        <w:rPr>
          <w:rFonts w:ascii="Avenir Next" w:hAnsi="Avenir Next"/>
          <w:i/>
          <w:sz w:val="23"/>
          <w:szCs w:val="23"/>
        </w:rPr>
        <w:t xml:space="preserve"> </w:t>
      </w:r>
      <w:r w:rsidR="0000216A" w:rsidRPr="00D92F0A">
        <w:rPr>
          <w:rFonts w:ascii="Avenir Next" w:hAnsi="Avenir Next"/>
          <w:i/>
          <w:sz w:val="23"/>
          <w:szCs w:val="23"/>
        </w:rPr>
        <w:t xml:space="preserve">Los sitios de la pintura que presenten </w:t>
      </w:r>
      <w:r w:rsidRPr="00D92F0A">
        <w:rPr>
          <w:rFonts w:ascii="Avenir Next" w:hAnsi="Avenir Next"/>
          <w:i/>
          <w:sz w:val="23"/>
          <w:szCs w:val="23"/>
        </w:rPr>
        <w:t xml:space="preserve">píxeles dentro del rango de intensidad definido se </w:t>
      </w:r>
      <w:r w:rsidR="00F95CEA" w:rsidRPr="00D92F0A">
        <w:rPr>
          <w:rFonts w:ascii="Avenir Next" w:hAnsi="Avenir Next"/>
          <w:i/>
          <w:sz w:val="23"/>
          <w:szCs w:val="23"/>
        </w:rPr>
        <w:t xml:space="preserve">exhiben </w:t>
      </w:r>
      <w:r w:rsidRPr="00D92F0A">
        <w:rPr>
          <w:rFonts w:ascii="Avenir Next" w:hAnsi="Avenir Next"/>
          <w:i/>
          <w:sz w:val="23"/>
          <w:szCs w:val="23"/>
        </w:rPr>
        <w:t>en una nueva imagen de color.</w:t>
      </w:r>
    </w:p>
    <w:p w14:paraId="2FE42107" w14:textId="77777777" w:rsidR="001C706B" w:rsidRPr="002667B2" w:rsidRDefault="002536CD" w:rsidP="00835207">
      <w:pPr>
        <w:spacing w:after="200" w:line="240" w:lineRule="auto"/>
        <w:jc w:val="center"/>
        <w:rPr>
          <w:rFonts w:ascii="Avenir Next" w:hAnsi="Avenir Next"/>
          <w:sz w:val="24"/>
          <w:szCs w:val="24"/>
        </w:rPr>
      </w:pPr>
      <w:r w:rsidRPr="002667B2">
        <w:rPr>
          <w:rFonts w:ascii="Avenir Next" w:hAnsi="Avenir Next"/>
          <w:noProof/>
          <w:sz w:val="24"/>
          <w:szCs w:val="24"/>
          <w:lang w:eastAsia="es-CR"/>
        </w:rPr>
        <w:drawing>
          <wp:anchor distT="0" distB="0" distL="114300" distR="114300" simplePos="0" relativeHeight="251663360" behindDoc="0" locked="0" layoutInCell="1" allowOverlap="1" wp14:anchorId="7FFA471E" wp14:editId="3F8745FB">
            <wp:simplePos x="0" y="0"/>
            <wp:positionH relativeFrom="margin">
              <wp:align>center</wp:align>
            </wp:positionH>
            <wp:positionV relativeFrom="paragraph">
              <wp:posOffset>6985</wp:posOffset>
            </wp:positionV>
            <wp:extent cx="5400000" cy="2295966"/>
            <wp:effectExtent l="0" t="0" r="0"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00" cy="2295966"/>
                    </a:xfrm>
                    <a:prstGeom prst="rect">
                      <a:avLst/>
                    </a:prstGeom>
                  </pic:spPr>
                </pic:pic>
              </a:graphicData>
            </a:graphic>
          </wp:anchor>
        </w:drawing>
      </w:r>
    </w:p>
    <w:p w14:paraId="5DD3CC9A" w14:textId="77777777" w:rsidR="002536CD" w:rsidRPr="002667B2" w:rsidRDefault="002536CD" w:rsidP="00835207">
      <w:pPr>
        <w:spacing w:after="200" w:line="240" w:lineRule="auto"/>
        <w:jc w:val="center"/>
        <w:rPr>
          <w:rFonts w:ascii="Avenir Next" w:hAnsi="Avenir Next"/>
          <w:sz w:val="24"/>
          <w:szCs w:val="24"/>
        </w:rPr>
      </w:pPr>
    </w:p>
    <w:p w14:paraId="215D1F97" w14:textId="77777777" w:rsidR="002536CD" w:rsidRPr="002667B2" w:rsidRDefault="002536CD" w:rsidP="00835207">
      <w:pPr>
        <w:spacing w:after="200" w:line="240" w:lineRule="auto"/>
        <w:jc w:val="center"/>
        <w:rPr>
          <w:rFonts w:ascii="Avenir Next" w:hAnsi="Avenir Next"/>
          <w:sz w:val="24"/>
          <w:szCs w:val="24"/>
        </w:rPr>
      </w:pPr>
    </w:p>
    <w:p w14:paraId="0C91B010" w14:textId="77777777" w:rsidR="002536CD" w:rsidRPr="002667B2" w:rsidRDefault="002536CD" w:rsidP="00835207">
      <w:pPr>
        <w:spacing w:after="200" w:line="240" w:lineRule="auto"/>
        <w:jc w:val="center"/>
        <w:rPr>
          <w:rFonts w:ascii="Avenir Next" w:hAnsi="Avenir Next"/>
          <w:sz w:val="24"/>
          <w:szCs w:val="24"/>
        </w:rPr>
      </w:pPr>
    </w:p>
    <w:p w14:paraId="4C1BFEDF" w14:textId="77777777" w:rsidR="002536CD" w:rsidRPr="002667B2" w:rsidRDefault="002536CD" w:rsidP="00835207">
      <w:pPr>
        <w:spacing w:after="200" w:line="240" w:lineRule="auto"/>
        <w:jc w:val="center"/>
        <w:rPr>
          <w:rFonts w:ascii="Avenir Next" w:hAnsi="Avenir Next"/>
          <w:sz w:val="24"/>
          <w:szCs w:val="24"/>
        </w:rPr>
      </w:pPr>
    </w:p>
    <w:p w14:paraId="690D9F87" w14:textId="77777777" w:rsidR="002536CD" w:rsidRDefault="002536CD" w:rsidP="00835207">
      <w:pPr>
        <w:spacing w:after="200" w:line="240" w:lineRule="auto"/>
        <w:jc w:val="center"/>
        <w:rPr>
          <w:rFonts w:ascii="Avenir Next" w:hAnsi="Avenir Next"/>
          <w:sz w:val="24"/>
          <w:szCs w:val="24"/>
        </w:rPr>
      </w:pPr>
    </w:p>
    <w:p w14:paraId="73CA1861" w14:textId="77777777" w:rsidR="00A84454" w:rsidRDefault="00A84454" w:rsidP="00835207">
      <w:pPr>
        <w:spacing w:after="200" w:line="240" w:lineRule="auto"/>
        <w:jc w:val="center"/>
        <w:rPr>
          <w:rFonts w:ascii="Avenir Next" w:hAnsi="Avenir Next"/>
          <w:sz w:val="24"/>
          <w:szCs w:val="24"/>
        </w:rPr>
      </w:pPr>
    </w:p>
    <w:p w14:paraId="0F89ADDD" w14:textId="288CEA77" w:rsidR="002536CD" w:rsidRPr="002667B2" w:rsidRDefault="002536CD" w:rsidP="00D92F0A">
      <w:pPr>
        <w:spacing w:after="200" w:line="240" w:lineRule="auto"/>
        <w:rPr>
          <w:rFonts w:ascii="Avenir Next" w:hAnsi="Avenir Next"/>
          <w:sz w:val="24"/>
          <w:szCs w:val="24"/>
        </w:rPr>
      </w:pPr>
    </w:p>
    <w:p w14:paraId="2FDFB9D3" w14:textId="25259E0E" w:rsidR="002536CD" w:rsidRPr="007B3547" w:rsidRDefault="00D92F0A" w:rsidP="00D92F0A">
      <w:pPr>
        <w:spacing w:after="200" w:line="240" w:lineRule="auto"/>
        <w:rPr>
          <w:rFonts w:ascii="Avenir Next" w:hAnsi="Avenir Next"/>
          <w:b/>
          <w:bCs/>
          <w:sz w:val="20"/>
          <w:szCs w:val="20"/>
        </w:rPr>
      </w:pPr>
      <w:r>
        <w:rPr>
          <w:rFonts w:ascii="Avenir Next" w:hAnsi="Avenir Next"/>
          <w:b/>
          <w:bCs/>
          <w:sz w:val="20"/>
          <w:szCs w:val="20"/>
        </w:rPr>
        <w:t xml:space="preserve">           </w:t>
      </w:r>
      <w:r w:rsidRPr="00D92F0A">
        <w:rPr>
          <w:rFonts w:ascii="Avenir Next" w:hAnsi="Avenir Next"/>
          <w:b/>
          <w:bCs/>
          <w:szCs w:val="20"/>
        </w:rPr>
        <w:t xml:space="preserve"> </w:t>
      </w:r>
      <w:r w:rsidR="007B3547" w:rsidRPr="00D92F0A">
        <w:rPr>
          <w:rFonts w:ascii="Avenir Next" w:hAnsi="Avenir Next"/>
          <w:bCs/>
          <w:i/>
          <w:szCs w:val="20"/>
        </w:rPr>
        <w:t>Fuente:</w:t>
      </w:r>
      <w:r w:rsidR="007B3547" w:rsidRPr="00D92F0A">
        <w:rPr>
          <w:rFonts w:ascii="Avenir Next" w:hAnsi="Avenir Next"/>
          <w:b/>
          <w:bCs/>
          <w:szCs w:val="20"/>
        </w:rPr>
        <w:t xml:space="preserve"> </w:t>
      </w:r>
      <w:r w:rsidR="007B3547" w:rsidRPr="00D92F0A">
        <w:rPr>
          <w:rFonts w:ascii="Avenir Next" w:hAnsi="Avenir Next"/>
          <w:szCs w:val="20"/>
        </w:rPr>
        <w:t>Elaboración propia</w:t>
      </w:r>
      <w:r w:rsidR="00A84454" w:rsidRPr="00D92F0A">
        <w:rPr>
          <w:rFonts w:ascii="Avenir Next" w:hAnsi="Avenir Next"/>
          <w:szCs w:val="20"/>
        </w:rPr>
        <w:t xml:space="preserve"> hecha </w:t>
      </w:r>
      <w:r w:rsidR="007B3547" w:rsidRPr="00D92F0A">
        <w:rPr>
          <w:rFonts w:ascii="Avenir Next" w:hAnsi="Avenir Next"/>
          <w:szCs w:val="20"/>
        </w:rPr>
        <w:t>por Mariana Viales Leandro</w:t>
      </w:r>
      <w:r>
        <w:rPr>
          <w:rFonts w:ascii="Avenir Next" w:hAnsi="Avenir Next"/>
          <w:szCs w:val="20"/>
        </w:rPr>
        <w:t>, 2022.</w:t>
      </w:r>
    </w:p>
    <w:p w14:paraId="34E89285"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Asimismo, las zonas de interés establecidas utilizando la herramienta computacional </w:t>
      </w:r>
      <w:r w:rsidRPr="00E72FB1">
        <w:rPr>
          <w:rFonts w:ascii="Avenir Next" w:hAnsi="Avenir Next"/>
          <w:iCs/>
          <w:sz w:val="24"/>
          <w:szCs w:val="24"/>
        </w:rPr>
        <w:t>RegionsOfInterest</w:t>
      </w:r>
      <w:r w:rsidRPr="002667B2">
        <w:rPr>
          <w:rFonts w:ascii="Avenir Next" w:hAnsi="Avenir Next"/>
          <w:sz w:val="24"/>
          <w:szCs w:val="24"/>
        </w:rPr>
        <w:t xml:space="preserve"> se compararon con otra herramienta computacional de libre acceso denominada </w:t>
      </w:r>
      <w:r w:rsidRPr="00E72FB1">
        <w:rPr>
          <w:rFonts w:ascii="Avenir Next" w:hAnsi="Avenir Next"/>
          <w:iCs/>
          <w:sz w:val="24"/>
          <w:szCs w:val="24"/>
        </w:rPr>
        <w:t>Golden Artists Colors</w:t>
      </w:r>
      <w:r w:rsidRPr="002667B2">
        <w:rPr>
          <w:rFonts w:ascii="Avenir Next" w:hAnsi="Avenir Next"/>
          <w:sz w:val="24"/>
          <w:szCs w:val="24"/>
        </w:rPr>
        <w:t xml:space="preserve">. </w:t>
      </w:r>
      <w:r w:rsidRPr="00F95CEA">
        <w:rPr>
          <w:rFonts w:ascii="Avenir Next" w:hAnsi="Avenir Next"/>
          <w:sz w:val="24"/>
          <w:szCs w:val="24"/>
        </w:rPr>
        <w:t xml:space="preserve">Lo anterior </w:t>
      </w:r>
      <w:r w:rsidR="0000216A" w:rsidRPr="00F95CEA">
        <w:rPr>
          <w:rFonts w:ascii="Avenir Next" w:hAnsi="Avenir Next"/>
          <w:sz w:val="24"/>
          <w:szCs w:val="24"/>
        </w:rPr>
        <w:t xml:space="preserve">se realizó </w:t>
      </w:r>
      <w:r w:rsidRPr="00F95CEA">
        <w:rPr>
          <w:rFonts w:ascii="Avenir Next" w:hAnsi="Avenir Next"/>
          <w:sz w:val="24"/>
          <w:szCs w:val="24"/>
        </w:rPr>
        <w:t xml:space="preserve">para reconocer los posibles pigmentos asociados a </w:t>
      </w:r>
      <w:r w:rsidR="007B3547" w:rsidRPr="00F95CEA">
        <w:rPr>
          <w:rFonts w:ascii="Avenir Next" w:hAnsi="Avenir Next"/>
          <w:sz w:val="24"/>
          <w:szCs w:val="24"/>
        </w:rPr>
        <w:t>los</w:t>
      </w:r>
      <w:r w:rsidRPr="00F95CEA">
        <w:rPr>
          <w:rFonts w:ascii="Avenir Next" w:hAnsi="Avenir Next"/>
          <w:sz w:val="24"/>
          <w:szCs w:val="24"/>
        </w:rPr>
        <w:t xml:space="preserve"> colores </w:t>
      </w:r>
      <w:r w:rsidR="0000216A" w:rsidRPr="00F95CEA">
        <w:rPr>
          <w:rFonts w:ascii="Avenir Next" w:hAnsi="Avenir Next"/>
          <w:sz w:val="24"/>
          <w:szCs w:val="24"/>
        </w:rPr>
        <w:t xml:space="preserve">previamente </w:t>
      </w:r>
      <w:r w:rsidRPr="00F95CEA">
        <w:rPr>
          <w:rFonts w:ascii="Avenir Next" w:hAnsi="Avenir Next"/>
          <w:sz w:val="24"/>
          <w:szCs w:val="24"/>
        </w:rPr>
        <w:t>determinados</w:t>
      </w:r>
      <w:r w:rsidR="0000216A" w:rsidRPr="00F95CEA">
        <w:rPr>
          <w:rFonts w:ascii="Avenir Next" w:hAnsi="Avenir Next"/>
          <w:sz w:val="24"/>
          <w:szCs w:val="24"/>
        </w:rPr>
        <w:t xml:space="preserve">, </w:t>
      </w:r>
      <w:r w:rsidR="00F95CEA">
        <w:rPr>
          <w:rFonts w:ascii="Avenir Next" w:hAnsi="Avenir Next"/>
          <w:sz w:val="24"/>
          <w:szCs w:val="24"/>
        </w:rPr>
        <w:t xml:space="preserve">mapeando </w:t>
      </w:r>
      <w:r w:rsidR="0000216A">
        <w:rPr>
          <w:rFonts w:ascii="Avenir Next" w:hAnsi="Avenir Next"/>
          <w:sz w:val="24"/>
          <w:szCs w:val="24"/>
        </w:rPr>
        <w:t>los</w:t>
      </w:r>
      <w:r w:rsidRPr="002667B2">
        <w:rPr>
          <w:rFonts w:ascii="Avenir Next" w:hAnsi="Avenir Next"/>
          <w:sz w:val="24"/>
          <w:szCs w:val="24"/>
        </w:rPr>
        <w:t xml:space="preserve"> pigmentos más probables característicos en toda la obra y por lo tanto seleccionar regiones de interés para futuros muestreos </w:t>
      </w:r>
      <w:r w:rsidRPr="002667B2">
        <w:rPr>
          <w:rFonts w:ascii="Avenir Next" w:hAnsi="Avenir Next"/>
          <w:i/>
          <w:sz w:val="24"/>
          <w:szCs w:val="24"/>
        </w:rPr>
        <w:t>in situ</w:t>
      </w:r>
      <w:r w:rsidRPr="002667B2">
        <w:rPr>
          <w:rFonts w:ascii="Avenir Next" w:hAnsi="Avenir Next"/>
          <w:sz w:val="24"/>
          <w:szCs w:val="24"/>
        </w:rPr>
        <w:t xml:space="preserve">. </w:t>
      </w:r>
    </w:p>
    <w:p w14:paraId="5949BB00"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De igual manera, con ayuda de las herramientas computacionales y una examinación visual en conjunto con las fotografías en VIS y UV de las obras, fue posible determinar zonas de interés en las que se identificaron los siguientes elementos: decoloración, manchas oscuras, paleta pictórica característica e inclusive posible crecimiento de micelio (estructura fúngica) con el propósito de realizar un muestreo microbiológico (Kavkler </w:t>
      </w:r>
      <w:r w:rsidRPr="002667B2">
        <w:rPr>
          <w:rFonts w:ascii="Avenir Next" w:hAnsi="Avenir Next"/>
          <w:iCs/>
          <w:sz w:val="24"/>
          <w:szCs w:val="24"/>
        </w:rPr>
        <w:t>et al.,</w:t>
      </w:r>
      <w:r w:rsidRPr="002667B2">
        <w:rPr>
          <w:rFonts w:ascii="Avenir Next" w:hAnsi="Avenir Next"/>
          <w:sz w:val="24"/>
          <w:szCs w:val="24"/>
        </w:rPr>
        <w:t xml:space="preserve"> 2015). Todo lo anterior para conocer qué otros factores podrían estar afectando el estado de conservación de las obras. </w:t>
      </w:r>
    </w:p>
    <w:p w14:paraId="7C97E229"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lastRenderedPageBreak/>
        <w:t>Muestreo Microbiológico</w:t>
      </w:r>
    </w:p>
    <w:p w14:paraId="5CA8C7BA" w14:textId="73C0C8D1" w:rsidR="00F87849"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El 12 de agosto del 2021 se realizó el muestreo microbiológico de ambas obras. Se determinaron 19 zonas o puntos de interés con comportamientos visuales atípicos en las imágenes multiespectrales</w:t>
      </w:r>
      <w:r w:rsidR="005965C0">
        <w:rPr>
          <w:rFonts w:ascii="Avenir Next" w:hAnsi="Avenir Next"/>
          <w:sz w:val="24"/>
          <w:szCs w:val="24"/>
        </w:rPr>
        <w:t xml:space="preserve">. Lo anterior, </w:t>
      </w:r>
      <w:r w:rsidRPr="002667B2">
        <w:rPr>
          <w:rFonts w:ascii="Avenir Next" w:hAnsi="Avenir Next"/>
          <w:sz w:val="24"/>
          <w:szCs w:val="24"/>
        </w:rPr>
        <w:t>haciendo énfasis en la fotografía UV</w:t>
      </w:r>
      <w:r w:rsidR="005965C0">
        <w:rPr>
          <w:rFonts w:ascii="Avenir Next" w:hAnsi="Avenir Next"/>
          <w:sz w:val="24"/>
          <w:szCs w:val="24"/>
        </w:rPr>
        <w:t xml:space="preserve"> </w:t>
      </w:r>
      <w:r w:rsidRPr="002667B2">
        <w:rPr>
          <w:rFonts w:ascii="Avenir Next" w:hAnsi="Avenir Next"/>
          <w:sz w:val="24"/>
          <w:szCs w:val="24"/>
        </w:rPr>
        <w:t xml:space="preserve">donde es posible observar patrones anómalos en la acuarela que podrían estar asociados a microorganismos que han entrado en contacto con las obras. </w:t>
      </w:r>
      <w:r w:rsidR="005965C0" w:rsidRPr="005965C0">
        <w:rPr>
          <w:rFonts w:ascii="Avenir Next" w:hAnsi="Avenir Next"/>
          <w:sz w:val="24"/>
          <w:szCs w:val="24"/>
        </w:rPr>
        <w:t>Las</w:t>
      </w:r>
      <w:r w:rsidRPr="005965C0">
        <w:rPr>
          <w:rFonts w:ascii="Avenir Next" w:hAnsi="Avenir Next"/>
          <w:sz w:val="24"/>
          <w:szCs w:val="24"/>
        </w:rPr>
        <w:t xml:space="preserve"> zonas</w:t>
      </w:r>
      <w:r w:rsidRPr="002667B2">
        <w:rPr>
          <w:rFonts w:ascii="Avenir Next" w:hAnsi="Avenir Next"/>
          <w:sz w:val="24"/>
          <w:szCs w:val="24"/>
        </w:rPr>
        <w:t xml:space="preserve"> que se muestran en la Figura 5 corresponden a: nueve del anverso (ver Figura 5A) y tres del reverso (ver Figura 5B) de la pintura</w:t>
      </w:r>
      <w:r w:rsidRPr="002667B2">
        <w:rPr>
          <w:rFonts w:ascii="Avenir Next" w:hAnsi="Avenir Next"/>
          <w:i/>
          <w:sz w:val="24"/>
          <w:szCs w:val="24"/>
        </w:rPr>
        <w:t xml:space="preserve"> Paisaje con casa campesina</w:t>
      </w:r>
      <w:r w:rsidRPr="002667B2">
        <w:rPr>
          <w:rFonts w:ascii="Avenir Next" w:hAnsi="Avenir Next"/>
          <w:sz w:val="24"/>
          <w:szCs w:val="24"/>
        </w:rPr>
        <w:t xml:space="preserve"> y cuatro del anverso (ver Figura 5C) y tres del reverso de </w:t>
      </w:r>
      <w:r w:rsidRPr="002667B2">
        <w:rPr>
          <w:rFonts w:ascii="Avenir Next" w:hAnsi="Avenir Next"/>
          <w:i/>
          <w:sz w:val="24"/>
          <w:szCs w:val="24"/>
        </w:rPr>
        <w:t>El puente</w:t>
      </w:r>
      <w:r w:rsidRPr="002667B2">
        <w:rPr>
          <w:rFonts w:ascii="Avenir Next" w:hAnsi="Avenir Next"/>
          <w:sz w:val="24"/>
          <w:szCs w:val="24"/>
        </w:rPr>
        <w:t xml:space="preserve"> (ver Figura 5D). Además, se seleccionó una zona como control negativo (zona que no presenta deterioro o pigmentos de interés) en cada pintura. </w:t>
      </w:r>
    </w:p>
    <w:p w14:paraId="2F2D4A3E" w14:textId="77777777" w:rsidR="00D92F0A" w:rsidRPr="00D92F0A" w:rsidRDefault="00AA5394" w:rsidP="00835207">
      <w:pPr>
        <w:spacing w:after="200" w:line="240" w:lineRule="auto"/>
        <w:jc w:val="center"/>
        <w:rPr>
          <w:rFonts w:ascii="Avenir Next" w:hAnsi="Avenir Next"/>
          <w:b/>
          <w:sz w:val="24"/>
        </w:rPr>
      </w:pPr>
      <w:r w:rsidRPr="00D92F0A">
        <w:rPr>
          <w:rFonts w:ascii="Avenir Next" w:hAnsi="Avenir Next"/>
          <w:b/>
          <w:sz w:val="24"/>
        </w:rPr>
        <w:t xml:space="preserve">Figura 5. </w:t>
      </w:r>
    </w:p>
    <w:p w14:paraId="692E95EC" w14:textId="760B7951" w:rsidR="00835207" w:rsidRPr="00D92F0A" w:rsidRDefault="00AA5394" w:rsidP="00835207">
      <w:pPr>
        <w:spacing w:after="200" w:line="240" w:lineRule="auto"/>
        <w:jc w:val="center"/>
        <w:rPr>
          <w:rFonts w:ascii="Avenir Next" w:hAnsi="Avenir Next"/>
          <w:i/>
          <w:sz w:val="24"/>
        </w:rPr>
      </w:pPr>
      <w:r w:rsidRPr="00D92F0A">
        <w:rPr>
          <w:rFonts w:ascii="Avenir Next" w:hAnsi="Avenir Next"/>
          <w:b/>
          <w:i/>
          <w:sz w:val="24"/>
        </w:rPr>
        <w:t xml:space="preserve">Zonas de interés para muestreo microbiológico A) </w:t>
      </w:r>
      <w:r w:rsidRPr="00D92F0A">
        <w:rPr>
          <w:rFonts w:ascii="Avenir Next" w:hAnsi="Avenir Next"/>
          <w:i/>
          <w:sz w:val="24"/>
        </w:rPr>
        <w:t>anverso y</w:t>
      </w:r>
      <w:r w:rsidRPr="00D92F0A">
        <w:rPr>
          <w:rFonts w:ascii="Avenir Next" w:hAnsi="Avenir Next"/>
          <w:b/>
          <w:i/>
          <w:sz w:val="24"/>
        </w:rPr>
        <w:t xml:space="preserve"> B) </w:t>
      </w:r>
      <w:r w:rsidRPr="00D92F0A">
        <w:rPr>
          <w:rFonts w:ascii="Avenir Next" w:hAnsi="Avenir Next"/>
          <w:i/>
          <w:sz w:val="24"/>
        </w:rPr>
        <w:t xml:space="preserve">reverso de la obra </w:t>
      </w:r>
      <w:r w:rsidRPr="00D92F0A">
        <w:rPr>
          <w:rFonts w:ascii="Avenir Next" w:hAnsi="Avenir Next"/>
          <w:i/>
          <w:iCs/>
          <w:sz w:val="24"/>
        </w:rPr>
        <w:t>Paisaje con casa campesina</w:t>
      </w:r>
      <w:r w:rsidRPr="00D92F0A">
        <w:rPr>
          <w:rFonts w:ascii="Avenir Next" w:hAnsi="Avenir Next"/>
          <w:i/>
          <w:sz w:val="24"/>
        </w:rPr>
        <w:t>, y</w:t>
      </w:r>
      <w:r w:rsidRPr="00D92F0A">
        <w:rPr>
          <w:rFonts w:ascii="Avenir Next" w:hAnsi="Avenir Next"/>
          <w:b/>
          <w:i/>
          <w:sz w:val="24"/>
        </w:rPr>
        <w:t xml:space="preserve"> C) </w:t>
      </w:r>
      <w:r w:rsidRPr="00D92F0A">
        <w:rPr>
          <w:rFonts w:ascii="Avenir Next" w:hAnsi="Avenir Next"/>
          <w:i/>
          <w:sz w:val="24"/>
        </w:rPr>
        <w:t>anverso y</w:t>
      </w:r>
      <w:r w:rsidRPr="00D92F0A">
        <w:rPr>
          <w:rFonts w:ascii="Avenir Next" w:hAnsi="Avenir Next"/>
          <w:b/>
          <w:i/>
          <w:sz w:val="24"/>
        </w:rPr>
        <w:t xml:space="preserve"> D) </w:t>
      </w:r>
      <w:r w:rsidRPr="00D92F0A">
        <w:rPr>
          <w:rFonts w:ascii="Avenir Next" w:hAnsi="Avenir Next"/>
          <w:i/>
          <w:sz w:val="24"/>
        </w:rPr>
        <w:t xml:space="preserve">reverso de la obra </w:t>
      </w:r>
      <w:r w:rsidRPr="00D92F0A">
        <w:rPr>
          <w:rFonts w:ascii="Avenir Next" w:hAnsi="Avenir Next"/>
          <w:i/>
          <w:iCs/>
          <w:sz w:val="24"/>
        </w:rPr>
        <w:t>El puente</w:t>
      </w:r>
      <w:r w:rsidRPr="00D92F0A">
        <w:rPr>
          <w:rFonts w:ascii="Avenir Next" w:hAnsi="Avenir Next"/>
          <w:i/>
          <w:sz w:val="24"/>
        </w:rPr>
        <w:t xml:space="preserve">. En ambos casos en gris las zonas con comportamientos visuales atípicos y en morado la zona como control negativo. Algunos ejemplos de las zonas con comportamientos visuales atípicos se muestran con imágenes en VIS y UV: </w:t>
      </w:r>
      <w:r w:rsidRPr="00D92F0A">
        <w:rPr>
          <w:rFonts w:ascii="Avenir Next" w:hAnsi="Avenir Next"/>
          <w:b/>
          <w:i/>
          <w:sz w:val="24"/>
        </w:rPr>
        <w:t>A.1)</w:t>
      </w:r>
      <w:r w:rsidRPr="00D92F0A">
        <w:rPr>
          <w:rFonts w:ascii="Avenir Next" w:hAnsi="Avenir Next"/>
          <w:i/>
          <w:sz w:val="24"/>
        </w:rPr>
        <w:t xml:space="preserve"> y </w:t>
      </w:r>
      <w:r w:rsidRPr="00D92F0A">
        <w:rPr>
          <w:rFonts w:ascii="Avenir Next" w:hAnsi="Avenir Next"/>
          <w:b/>
          <w:i/>
          <w:sz w:val="24"/>
        </w:rPr>
        <w:t>C.1)</w:t>
      </w:r>
      <w:r w:rsidRPr="00D92F0A">
        <w:rPr>
          <w:rFonts w:ascii="Avenir Next" w:hAnsi="Avenir Next"/>
          <w:i/>
          <w:sz w:val="24"/>
        </w:rPr>
        <w:t xml:space="preserve"> Manchas oscuras que se observan en UV. </w:t>
      </w:r>
      <w:r w:rsidRPr="00D92F0A">
        <w:rPr>
          <w:rFonts w:ascii="Avenir Next" w:hAnsi="Avenir Next"/>
          <w:b/>
          <w:i/>
          <w:sz w:val="24"/>
        </w:rPr>
        <w:t>B.1)</w:t>
      </w:r>
      <w:r w:rsidRPr="00D92F0A">
        <w:rPr>
          <w:rFonts w:ascii="Avenir Next" w:hAnsi="Avenir Next"/>
          <w:i/>
          <w:sz w:val="24"/>
        </w:rPr>
        <w:t xml:space="preserve"> y </w:t>
      </w:r>
      <w:r w:rsidRPr="00D92F0A">
        <w:rPr>
          <w:rFonts w:ascii="Avenir Next" w:hAnsi="Avenir Next"/>
          <w:b/>
          <w:i/>
          <w:sz w:val="24"/>
        </w:rPr>
        <w:t>D.1)</w:t>
      </w:r>
      <w:r w:rsidRPr="00D92F0A">
        <w:rPr>
          <w:rFonts w:ascii="Avenir Next" w:hAnsi="Avenir Next"/>
          <w:i/>
          <w:sz w:val="24"/>
        </w:rPr>
        <w:t xml:space="preserve"> Manchas que se observan en VIS y UV.</w:t>
      </w:r>
    </w:p>
    <w:p w14:paraId="58CA21F2" w14:textId="505A5F06" w:rsidR="008F27BA" w:rsidRPr="00835207" w:rsidRDefault="009B5AF7" w:rsidP="00D92F0A">
      <w:pPr>
        <w:spacing w:after="200" w:line="240" w:lineRule="auto"/>
        <w:rPr>
          <w:rFonts w:ascii="Avenir Next" w:hAnsi="Avenir Next"/>
        </w:rPr>
      </w:pPr>
      <w:r w:rsidRPr="002667B2">
        <w:rPr>
          <w:rFonts w:ascii="Avenir Next" w:hAnsi="Avenir Next"/>
          <w:b/>
          <w:noProof/>
          <w:lang w:eastAsia="es-CR"/>
        </w:rPr>
        <w:drawing>
          <wp:anchor distT="0" distB="0" distL="114300" distR="114300" simplePos="0" relativeHeight="251664384" behindDoc="0" locked="0" layoutInCell="1" allowOverlap="1" wp14:anchorId="4394803B" wp14:editId="75E7E0D1">
            <wp:simplePos x="0" y="0"/>
            <wp:positionH relativeFrom="margin">
              <wp:posOffset>841490</wp:posOffset>
            </wp:positionH>
            <wp:positionV relativeFrom="paragraph">
              <wp:posOffset>249324</wp:posOffset>
            </wp:positionV>
            <wp:extent cx="4152265" cy="2761673"/>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21" cstate="print">
                      <a:extLst>
                        <a:ext uri="{28A0092B-C50C-407E-A947-70E740481C1C}">
                          <a14:useLocalDpi xmlns:a14="http://schemas.microsoft.com/office/drawing/2010/main" val="0"/>
                        </a:ext>
                      </a:extLst>
                    </a:blip>
                    <a:srcRect l="3869" t="7203" b="6631"/>
                    <a:stretch/>
                  </pic:blipFill>
                  <pic:spPr bwMode="auto">
                    <a:xfrm>
                      <a:off x="0" y="0"/>
                      <a:ext cx="4152772" cy="2762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851E6C" w14:textId="77777777" w:rsidR="008F27BA" w:rsidRPr="002667B2" w:rsidRDefault="008F27BA">
      <w:pPr>
        <w:spacing w:after="200" w:line="240" w:lineRule="auto"/>
        <w:jc w:val="center"/>
        <w:rPr>
          <w:rFonts w:ascii="Avenir Next" w:hAnsi="Avenir Next"/>
          <w:b/>
        </w:rPr>
      </w:pPr>
    </w:p>
    <w:p w14:paraId="56ED0972" w14:textId="77777777" w:rsidR="008F27BA" w:rsidRPr="002667B2" w:rsidRDefault="008F27BA">
      <w:pPr>
        <w:spacing w:after="200" w:line="240" w:lineRule="auto"/>
        <w:jc w:val="center"/>
        <w:rPr>
          <w:rFonts w:ascii="Avenir Next" w:hAnsi="Avenir Next"/>
          <w:b/>
        </w:rPr>
      </w:pPr>
    </w:p>
    <w:p w14:paraId="5E90500D" w14:textId="77777777" w:rsidR="00F87849" w:rsidRPr="002667B2" w:rsidRDefault="00F87849">
      <w:pPr>
        <w:spacing w:after="200" w:line="240" w:lineRule="auto"/>
        <w:jc w:val="center"/>
        <w:rPr>
          <w:rFonts w:ascii="Avenir Next" w:hAnsi="Avenir Next"/>
          <w:b/>
        </w:rPr>
      </w:pPr>
    </w:p>
    <w:p w14:paraId="615BE34E" w14:textId="77777777" w:rsidR="008F27BA" w:rsidRPr="002667B2" w:rsidRDefault="008F27BA">
      <w:pPr>
        <w:spacing w:after="200" w:line="240" w:lineRule="auto"/>
        <w:jc w:val="both"/>
        <w:rPr>
          <w:rFonts w:ascii="Avenir Next" w:hAnsi="Avenir Next"/>
          <w:sz w:val="24"/>
          <w:szCs w:val="24"/>
        </w:rPr>
      </w:pPr>
    </w:p>
    <w:p w14:paraId="1D2C0659" w14:textId="77777777" w:rsidR="008F27BA" w:rsidRPr="002667B2" w:rsidRDefault="008F27BA">
      <w:pPr>
        <w:spacing w:after="200" w:line="240" w:lineRule="auto"/>
        <w:jc w:val="both"/>
        <w:rPr>
          <w:rFonts w:ascii="Avenir Next" w:hAnsi="Avenir Next"/>
          <w:sz w:val="24"/>
          <w:szCs w:val="24"/>
        </w:rPr>
      </w:pPr>
    </w:p>
    <w:p w14:paraId="3CFC4419" w14:textId="77777777" w:rsidR="008F27BA" w:rsidRPr="002667B2" w:rsidRDefault="008F27BA">
      <w:pPr>
        <w:spacing w:after="200" w:line="240" w:lineRule="auto"/>
        <w:jc w:val="both"/>
        <w:rPr>
          <w:rFonts w:ascii="Avenir Next" w:hAnsi="Avenir Next"/>
          <w:sz w:val="24"/>
          <w:szCs w:val="24"/>
        </w:rPr>
      </w:pPr>
    </w:p>
    <w:p w14:paraId="34CD3CAA" w14:textId="77777777" w:rsidR="008F27BA" w:rsidRPr="002667B2" w:rsidRDefault="008F27BA">
      <w:pPr>
        <w:spacing w:after="200" w:line="240" w:lineRule="auto"/>
        <w:jc w:val="both"/>
        <w:rPr>
          <w:rFonts w:ascii="Avenir Next" w:hAnsi="Avenir Next"/>
          <w:sz w:val="24"/>
          <w:szCs w:val="24"/>
        </w:rPr>
      </w:pPr>
    </w:p>
    <w:p w14:paraId="6D1C2035" w14:textId="3B3A5C9F" w:rsidR="008F27BA" w:rsidRDefault="008F27BA">
      <w:pPr>
        <w:spacing w:after="200" w:line="240" w:lineRule="auto"/>
        <w:jc w:val="both"/>
        <w:rPr>
          <w:rFonts w:ascii="Avenir Next" w:hAnsi="Avenir Next"/>
          <w:sz w:val="24"/>
          <w:szCs w:val="24"/>
        </w:rPr>
      </w:pPr>
    </w:p>
    <w:p w14:paraId="49000A17" w14:textId="77777777" w:rsidR="00835207" w:rsidRPr="002667B2" w:rsidRDefault="00835207">
      <w:pPr>
        <w:spacing w:after="200" w:line="240" w:lineRule="auto"/>
        <w:jc w:val="both"/>
        <w:rPr>
          <w:rFonts w:ascii="Avenir Next" w:hAnsi="Avenir Next"/>
          <w:sz w:val="24"/>
          <w:szCs w:val="24"/>
        </w:rPr>
      </w:pPr>
    </w:p>
    <w:p w14:paraId="6B0C804C" w14:textId="629A6B7A" w:rsidR="008F27BA" w:rsidRPr="00D92F0A" w:rsidRDefault="00D92F0A">
      <w:pPr>
        <w:spacing w:after="200" w:line="240" w:lineRule="auto"/>
        <w:jc w:val="both"/>
        <w:rPr>
          <w:rFonts w:ascii="Avenir Next" w:hAnsi="Avenir Next"/>
          <w:b/>
          <w:bCs/>
          <w:szCs w:val="20"/>
        </w:rPr>
      </w:pPr>
      <w:r>
        <w:rPr>
          <w:rFonts w:ascii="Avenir Next" w:hAnsi="Avenir Next"/>
          <w:sz w:val="24"/>
          <w:szCs w:val="24"/>
        </w:rPr>
        <w:t xml:space="preserve">                             </w:t>
      </w:r>
      <w:r w:rsidR="005965C0" w:rsidRPr="00D92F0A">
        <w:rPr>
          <w:rFonts w:ascii="Avenir Next" w:hAnsi="Avenir Next"/>
          <w:bCs/>
          <w:i/>
          <w:szCs w:val="20"/>
        </w:rPr>
        <w:t>Fuente:</w:t>
      </w:r>
      <w:r w:rsidR="005965C0" w:rsidRPr="00D92F0A">
        <w:rPr>
          <w:rFonts w:ascii="Avenir Next" w:hAnsi="Avenir Next"/>
          <w:b/>
          <w:bCs/>
          <w:szCs w:val="20"/>
        </w:rPr>
        <w:t xml:space="preserve"> </w:t>
      </w:r>
      <w:r w:rsidR="005965C0" w:rsidRPr="00D92F0A">
        <w:rPr>
          <w:rFonts w:ascii="Avenir Next" w:hAnsi="Avenir Next"/>
          <w:szCs w:val="20"/>
        </w:rPr>
        <w:t>Elaboración propia</w:t>
      </w:r>
      <w:r w:rsidR="00A84454" w:rsidRPr="00D92F0A">
        <w:rPr>
          <w:rFonts w:ascii="Avenir Next" w:hAnsi="Avenir Next"/>
          <w:szCs w:val="20"/>
        </w:rPr>
        <w:t xml:space="preserve"> hecha </w:t>
      </w:r>
      <w:r w:rsidR="005965C0" w:rsidRPr="00D92F0A">
        <w:rPr>
          <w:rFonts w:ascii="Avenir Next" w:hAnsi="Avenir Next"/>
          <w:szCs w:val="20"/>
        </w:rPr>
        <w:t>por Mariana Viales Leandro</w:t>
      </w:r>
      <w:r w:rsidRPr="00D92F0A">
        <w:rPr>
          <w:rFonts w:ascii="Avenir Next" w:hAnsi="Avenir Next"/>
          <w:szCs w:val="20"/>
        </w:rPr>
        <w:t>, 2022.</w:t>
      </w:r>
    </w:p>
    <w:p w14:paraId="59A2C4F1"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Las muestras se obtuvieron mediante el uso de aplicadores estériles secos que fueron </w:t>
      </w:r>
      <w:r w:rsidRPr="00F95CEA">
        <w:rPr>
          <w:rFonts w:ascii="Avenir Next" w:hAnsi="Avenir Next"/>
          <w:sz w:val="24"/>
          <w:szCs w:val="24"/>
        </w:rPr>
        <w:t xml:space="preserve">pasados </w:t>
      </w:r>
      <w:r w:rsidR="009B5AF7" w:rsidRPr="00F95CEA">
        <w:rPr>
          <w:rFonts w:ascii="Avenir Next" w:hAnsi="Avenir Next"/>
          <w:sz w:val="24"/>
          <w:szCs w:val="24"/>
        </w:rPr>
        <w:t>en</w:t>
      </w:r>
      <w:r w:rsidR="009B5AF7">
        <w:rPr>
          <w:rFonts w:ascii="Avenir Next" w:hAnsi="Avenir Next"/>
          <w:sz w:val="24"/>
          <w:szCs w:val="24"/>
        </w:rPr>
        <w:t xml:space="preserve"> </w:t>
      </w:r>
      <w:r w:rsidRPr="002667B2">
        <w:rPr>
          <w:rFonts w:ascii="Avenir Next" w:hAnsi="Avenir Next"/>
          <w:sz w:val="24"/>
          <w:szCs w:val="24"/>
        </w:rPr>
        <w:t>varias ocasiones (distintas direcciones) sobre la superficie de cada punto de interés. La torunda estéril fue luego sumergida en 5 mL de agua peptonada estéril al 0.1% (APE) dentro de un tubo de ensayo que fue transportado en frío al Laboratorio de Investigación y Entrenamiento en Microbiología de Alimentos (LIMA) de la Universidad de Costa Rica (UCR) para el respectivo análisis.</w:t>
      </w:r>
    </w:p>
    <w:p w14:paraId="546A2997"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A partir de la suspensión en APE de cada muestra se realizó un cultivo en medios específicos para bacterias (Agar Sangre) y hongos (agar glucosado de Sabouraud (AGS) con antibióticos (gentamicina y cloranfenicol). Cada suspensión </w:t>
      </w:r>
      <w:r w:rsidRPr="00F95CEA">
        <w:rPr>
          <w:rFonts w:ascii="Avenir Next" w:hAnsi="Avenir Next"/>
          <w:sz w:val="24"/>
          <w:szCs w:val="24"/>
        </w:rPr>
        <w:t xml:space="preserve">se </w:t>
      </w:r>
      <w:r w:rsidR="009B5AF7" w:rsidRPr="00F95CEA">
        <w:rPr>
          <w:rFonts w:ascii="Avenir Next" w:hAnsi="Avenir Next"/>
          <w:sz w:val="24"/>
          <w:szCs w:val="24"/>
        </w:rPr>
        <w:t>agitó</w:t>
      </w:r>
      <w:r w:rsidRPr="002667B2">
        <w:rPr>
          <w:rFonts w:ascii="Avenir Next" w:hAnsi="Avenir Next"/>
          <w:sz w:val="24"/>
          <w:szCs w:val="24"/>
        </w:rPr>
        <w:t xml:space="preserve"> y se realizó un extendido en placas de cada medio de cultivo empleando un asa estéril.</w:t>
      </w:r>
    </w:p>
    <w:p w14:paraId="07CA701C"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lastRenderedPageBreak/>
        <w:t>El Agar Sangre fue incubado a 35</w:t>
      </w:r>
      <w:r w:rsidR="00F95CEA">
        <w:rPr>
          <w:rFonts w:ascii="Avenir Next" w:hAnsi="Avenir Next"/>
          <w:sz w:val="24"/>
          <w:szCs w:val="24"/>
        </w:rPr>
        <w:t xml:space="preserve"> </w:t>
      </w:r>
      <w:r w:rsidRPr="002667B2">
        <w:rPr>
          <w:rFonts w:ascii="Avenir Next" w:hAnsi="Avenir Next"/>
          <w:sz w:val="24"/>
          <w:szCs w:val="24"/>
        </w:rPr>
        <w:t xml:space="preserve">°C por 48 h. Después de la incubación, se revisaron las placas para verificar la presencia de crecimiento de colonias bacterianas. Cada aislamiento fue elegido </w:t>
      </w:r>
      <w:r w:rsidR="00F95CEA">
        <w:rPr>
          <w:rFonts w:ascii="Avenir Next" w:hAnsi="Avenir Next"/>
          <w:sz w:val="24"/>
          <w:szCs w:val="24"/>
        </w:rPr>
        <w:t xml:space="preserve">con </w:t>
      </w:r>
      <w:r w:rsidRPr="002667B2">
        <w:rPr>
          <w:rFonts w:ascii="Avenir Next" w:hAnsi="Avenir Next"/>
          <w:sz w:val="24"/>
          <w:szCs w:val="24"/>
        </w:rPr>
        <w:t xml:space="preserve"> base </w:t>
      </w:r>
      <w:r w:rsidR="00F95CEA">
        <w:rPr>
          <w:rFonts w:ascii="Avenir Next" w:hAnsi="Avenir Next"/>
          <w:sz w:val="24"/>
          <w:szCs w:val="24"/>
        </w:rPr>
        <w:t xml:space="preserve">en </w:t>
      </w:r>
      <w:r w:rsidRPr="002667B2">
        <w:rPr>
          <w:rFonts w:ascii="Avenir Next" w:hAnsi="Avenir Next"/>
          <w:sz w:val="24"/>
          <w:szCs w:val="24"/>
        </w:rPr>
        <w:t>la morfología de cada una de las colonias con el fin de realizar aislamientos individuales en placas adicionales de Agar Sangre. Los aislamientos seleccionados fueron analizados microscópicamente por medio de una tinción de Gram y luego fueron identificados por medio del sistema VITEK 2 System (bioMérieux, Marcy-L’Etoile, Francia). Cada aislamiento fue almacenado</w:t>
      </w:r>
      <w:r w:rsidR="00F95CEA">
        <w:rPr>
          <w:rFonts w:ascii="Avenir Next" w:hAnsi="Avenir Next"/>
          <w:sz w:val="24"/>
          <w:szCs w:val="24"/>
        </w:rPr>
        <w:t xml:space="preserve"> a una temperatura de -</w:t>
      </w:r>
      <w:r w:rsidRPr="002667B2">
        <w:rPr>
          <w:rFonts w:ascii="Avenir Next" w:hAnsi="Avenir Next"/>
          <w:sz w:val="24"/>
          <w:szCs w:val="24"/>
        </w:rPr>
        <w:t>80</w:t>
      </w:r>
      <w:r w:rsidR="00F95CEA">
        <w:rPr>
          <w:rFonts w:ascii="Avenir Next" w:hAnsi="Avenir Next"/>
          <w:sz w:val="24"/>
          <w:szCs w:val="24"/>
        </w:rPr>
        <w:t xml:space="preserve"> </w:t>
      </w:r>
      <w:r w:rsidRPr="002667B2">
        <w:rPr>
          <w:rFonts w:ascii="Avenir Next" w:hAnsi="Avenir Next"/>
          <w:sz w:val="24"/>
          <w:szCs w:val="24"/>
        </w:rPr>
        <w:t>°C en caldo infusión cerebro corazón suplementado con glicerol (20%) dentro de la colección bacteriológica del Centro de Investigación en Enfermedades Tropicales (CIET).</w:t>
      </w:r>
    </w:p>
    <w:p w14:paraId="7C3B8503"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Los análisis micológicos se realizaron en la Sección de Micología Médica de la Facultad de Microbiología de la UCR y en el Laboratorio de Micología Médica del Centro Nacional de Referencia de Bacteriología del Instituto Costarricense de Investigación y Enseñanza en Nutrición y Salud. Las placas de AGS fueron incubadas a </w:t>
      </w:r>
      <w:r w:rsidR="00F95CEA">
        <w:rPr>
          <w:rFonts w:ascii="Avenir Next" w:hAnsi="Avenir Next"/>
          <w:sz w:val="24"/>
          <w:szCs w:val="24"/>
        </w:rPr>
        <w:t xml:space="preserve">una temperatura de </w:t>
      </w:r>
      <w:r w:rsidRPr="002667B2">
        <w:rPr>
          <w:rFonts w:ascii="Avenir Next" w:hAnsi="Avenir Next"/>
          <w:sz w:val="24"/>
          <w:szCs w:val="24"/>
        </w:rPr>
        <w:t>25</w:t>
      </w:r>
      <w:r w:rsidR="00F95CEA">
        <w:rPr>
          <w:rFonts w:ascii="Avenir Next" w:hAnsi="Avenir Next"/>
          <w:sz w:val="24"/>
          <w:szCs w:val="24"/>
        </w:rPr>
        <w:t xml:space="preserve"> </w:t>
      </w:r>
      <w:r w:rsidRPr="002667B2">
        <w:rPr>
          <w:rFonts w:ascii="Avenir Next" w:hAnsi="Avenir Next"/>
          <w:sz w:val="24"/>
          <w:szCs w:val="24"/>
        </w:rPr>
        <w:t xml:space="preserve">°C y se revisaron </w:t>
      </w:r>
      <w:r w:rsidRPr="00F95CEA">
        <w:rPr>
          <w:rFonts w:ascii="Avenir Next" w:hAnsi="Avenir Next"/>
          <w:sz w:val="24"/>
          <w:szCs w:val="24"/>
        </w:rPr>
        <w:t>diariamente</w:t>
      </w:r>
      <w:r w:rsidRPr="002667B2">
        <w:rPr>
          <w:rFonts w:ascii="Avenir Next" w:hAnsi="Avenir Next"/>
          <w:sz w:val="24"/>
          <w:szCs w:val="24"/>
        </w:rPr>
        <w:t xml:space="preserve"> hasta cumplir cuatro semanas de incubación. Se realizaron subcultivos de los distintos morfotipos coloniales a placas con AGS y agar papa dextrosa. La pureza e identificación preliminar de los aislamientos se realizó mediante montajes húmedos con azul de lactofenol o lactofenol claro para hongos hialinos o fuliginosos, </w:t>
      </w:r>
      <w:r w:rsidRPr="00F95CEA">
        <w:rPr>
          <w:rFonts w:ascii="Avenir Next" w:hAnsi="Avenir Next"/>
          <w:sz w:val="24"/>
          <w:szCs w:val="24"/>
        </w:rPr>
        <w:t>respectivamente</w:t>
      </w:r>
      <w:r w:rsidRPr="002667B2">
        <w:rPr>
          <w:rFonts w:ascii="Avenir Next" w:hAnsi="Avenir Next"/>
          <w:sz w:val="24"/>
          <w:szCs w:val="24"/>
        </w:rPr>
        <w:t xml:space="preserve"> (Gross y Salas, 2012). </w:t>
      </w:r>
    </w:p>
    <w:p w14:paraId="126AAFB1"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La identificación a nivel de especie se realizó mediante espectrometría de masas (MALDI-TOF MS, por sus siglas en inglés</w:t>
      </w:r>
      <w:r w:rsidRPr="002667B2">
        <w:rPr>
          <w:rFonts w:ascii="Avenir Next" w:hAnsi="Avenir Next"/>
          <w:color w:val="1A1A1A"/>
          <w:sz w:val="24"/>
          <w:szCs w:val="24"/>
        </w:rPr>
        <w:t>)</w:t>
      </w:r>
      <w:r w:rsidR="009B5AF7">
        <w:rPr>
          <w:rFonts w:ascii="Avenir Next" w:hAnsi="Avenir Next"/>
          <w:color w:val="1A1A1A"/>
          <w:sz w:val="24"/>
          <w:szCs w:val="24"/>
        </w:rPr>
        <w:t xml:space="preserve"> </w:t>
      </w:r>
      <w:r w:rsidR="009B5AF7" w:rsidRPr="00F95CEA">
        <w:rPr>
          <w:rFonts w:ascii="Avenir Next" w:hAnsi="Avenir Next"/>
          <w:color w:val="1A1A1A"/>
          <w:sz w:val="24"/>
          <w:szCs w:val="24"/>
        </w:rPr>
        <w:t>con</w:t>
      </w:r>
      <w:r w:rsidR="009B5AF7">
        <w:rPr>
          <w:rFonts w:ascii="Avenir Next" w:hAnsi="Avenir Next"/>
          <w:color w:val="1A1A1A"/>
          <w:sz w:val="24"/>
          <w:szCs w:val="24"/>
        </w:rPr>
        <w:t xml:space="preserve"> </w:t>
      </w:r>
      <w:r w:rsidRPr="002667B2">
        <w:rPr>
          <w:rFonts w:ascii="Avenir Next" w:hAnsi="Avenir Next"/>
          <w:color w:val="1A1A1A"/>
          <w:sz w:val="24"/>
          <w:szCs w:val="24"/>
        </w:rPr>
        <w:t xml:space="preserve">el equipo MBT Maldi Biotyper (Bruker Daltonics, Alemania). Los espectros obtenidos fueron analizados </w:t>
      </w:r>
      <w:r w:rsidR="00D919E0">
        <w:rPr>
          <w:rFonts w:ascii="Avenir Next" w:hAnsi="Avenir Next"/>
          <w:color w:val="1A1A1A"/>
          <w:sz w:val="24"/>
          <w:szCs w:val="24"/>
        </w:rPr>
        <w:t xml:space="preserve">por medio de </w:t>
      </w:r>
      <w:r w:rsidRPr="002667B2">
        <w:rPr>
          <w:rFonts w:ascii="Avenir Next" w:hAnsi="Avenir Next"/>
          <w:color w:val="1A1A1A"/>
          <w:sz w:val="24"/>
          <w:szCs w:val="24"/>
        </w:rPr>
        <w:t>la Biblioteca de Br</w:t>
      </w:r>
      <w:r w:rsidR="00F95CEA">
        <w:rPr>
          <w:rFonts w:ascii="Avenir Next" w:hAnsi="Avenir Next"/>
          <w:color w:val="1A1A1A"/>
          <w:sz w:val="24"/>
          <w:szCs w:val="24"/>
        </w:rPr>
        <w:t>u</w:t>
      </w:r>
      <w:r w:rsidRPr="002667B2">
        <w:rPr>
          <w:rFonts w:ascii="Avenir Next" w:hAnsi="Avenir Next"/>
          <w:color w:val="1A1A1A"/>
          <w:sz w:val="24"/>
          <w:szCs w:val="24"/>
        </w:rPr>
        <w:t xml:space="preserve">ker y la plataforma MSI Platforme (msi.happy-dev.fr). </w:t>
      </w:r>
      <w:r w:rsidRPr="002667B2">
        <w:rPr>
          <w:rFonts w:ascii="Avenir Next" w:hAnsi="Avenir Next"/>
          <w:sz w:val="24"/>
          <w:szCs w:val="24"/>
        </w:rPr>
        <w:t>Cada aislamiento identificado fue almacenado en AGS, bajo una capa de aceite en la Micoteca de la Facultad de Microbiología (proyecto inscrito ante la Vicerrectoría de Investigación de la UCR, número VI-B7732).</w:t>
      </w:r>
    </w:p>
    <w:p w14:paraId="21E2C67C" w14:textId="77777777" w:rsidR="00144113" w:rsidRPr="002667B2" w:rsidRDefault="00AA5394">
      <w:pPr>
        <w:spacing w:before="240" w:after="240"/>
        <w:jc w:val="both"/>
        <w:rPr>
          <w:rFonts w:ascii="Avenir Next" w:hAnsi="Avenir Next"/>
          <w:b/>
          <w:sz w:val="20"/>
          <w:szCs w:val="20"/>
        </w:rPr>
      </w:pPr>
      <w:r w:rsidRPr="002667B2">
        <w:rPr>
          <w:rFonts w:ascii="Avenir Next" w:hAnsi="Avenir Next"/>
          <w:b/>
          <w:sz w:val="24"/>
          <w:szCs w:val="24"/>
        </w:rPr>
        <w:t>Resultados</w:t>
      </w:r>
    </w:p>
    <w:p w14:paraId="13E54AD5" w14:textId="77777777" w:rsidR="00144113" w:rsidRPr="002667B2" w:rsidRDefault="009B5AF7">
      <w:pPr>
        <w:spacing w:before="240" w:after="240" w:line="240" w:lineRule="auto"/>
        <w:jc w:val="both"/>
        <w:rPr>
          <w:rFonts w:ascii="Avenir Next" w:hAnsi="Avenir Next"/>
          <w:sz w:val="24"/>
          <w:szCs w:val="24"/>
        </w:rPr>
      </w:pPr>
      <w:r w:rsidRPr="00F95CEA">
        <w:rPr>
          <w:rFonts w:ascii="Avenir Next" w:hAnsi="Avenir Next"/>
          <w:sz w:val="24"/>
          <w:szCs w:val="24"/>
        </w:rPr>
        <w:t>Se comenzará</w:t>
      </w:r>
      <w:r w:rsidR="00AA5394" w:rsidRPr="002667B2">
        <w:rPr>
          <w:rFonts w:ascii="Avenir Next" w:hAnsi="Avenir Next"/>
          <w:sz w:val="24"/>
          <w:szCs w:val="24"/>
        </w:rPr>
        <w:t xml:space="preserve"> describiendo el estado de conservación de las obras en estudio. Después la información más relevante observada por medio de las fotografías en alta resolución. </w:t>
      </w:r>
      <w:r w:rsidR="00F95CEA" w:rsidRPr="00F95CEA">
        <w:rPr>
          <w:rFonts w:ascii="Avenir Next" w:hAnsi="Avenir Next"/>
          <w:sz w:val="24"/>
          <w:szCs w:val="24"/>
        </w:rPr>
        <w:t>Seguidamente</w:t>
      </w:r>
      <w:r w:rsidR="00EE1787">
        <w:rPr>
          <w:rFonts w:ascii="Avenir Next" w:hAnsi="Avenir Next"/>
          <w:sz w:val="24"/>
          <w:szCs w:val="24"/>
        </w:rPr>
        <w:t>,</w:t>
      </w:r>
      <w:r w:rsidR="00AA5394" w:rsidRPr="002667B2">
        <w:rPr>
          <w:rFonts w:ascii="Avenir Next" w:hAnsi="Avenir Next"/>
          <w:sz w:val="24"/>
          <w:szCs w:val="24"/>
        </w:rPr>
        <w:t xml:space="preserve"> se expondrán por medio de las herramientas computacionales la composición de la posible paleta pictórica del artista. </w:t>
      </w:r>
      <w:r w:rsidR="00AA5394" w:rsidRPr="00F95CEA">
        <w:rPr>
          <w:rFonts w:ascii="Avenir Next" w:hAnsi="Avenir Next"/>
          <w:sz w:val="24"/>
          <w:szCs w:val="24"/>
        </w:rPr>
        <w:t>Finalmente,</w:t>
      </w:r>
      <w:r w:rsidR="00AA5394" w:rsidRPr="002667B2">
        <w:rPr>
          <w:rFonts w:ascii="Avenir Next" w:hAnsi="Avenir Next"/>
          <w:sz w:val="24"/>
          <w:szCs w:val="24"/>
        </w:rPr>
        <w:t xml:space="preserve"> se muestran características de los microorganismos y las zonas donde se aislaron. </w:t>
      </w:r>
    </w:p>
    <w:p w14:paraId="5E74814D" w14:textId="77777777" w:rsidR="00144113" w:rsidRPr="002667B2" w:rsidRDefault="00AA5394">
      <w:pPr>
        <w:spacing w:before="240" w:after="240"/>
        <w:jc w:val="both"/>
        <w:rPr>
          <w:rFonts w:ascii="Avenir Next" w:hAnsi="Avenir Next"/>
          <w:b/>
          <w:sz w:val="24"/>
          <w:szCs w:val="24"/>
        </w:rPr>
      </w:pPr>
      <w:r w:rsidRPr="002667B2">
        <w:rPr>
          <w:rFonts w:ascii="Avenir Next" w:hAnsi="Avenir Next"/>
          <w:b/>
          <w:sz w:val="24"/>
          <w:szCs w:val="24"/>
        </w:rPr>
        <w:t>Estado de Conservación</w:t>
      </w:r>
    </w:p>
    <w:p w14:paraId="36916275" w14:textId="77777777"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 xml:space="preserve">A </w:t>
      </w:r>
      <w:r w:rsidR="000F2088" w:rsidRPr="002667B2">
        <w:rPr>
          <w:rFonts w:ascii="Avenir Next" w:hAnsi="Avenir Next"/>
          <w:sz w:val="24"/>
          <w:szCs w:val="24"/>
        </w:rPr>
        <w:t>continuación,</w:t>
      </w:r>
      <w:r w:rsidRPr="002667B2">
        <w:rPr>
          <w:rFonts w:ascii="Avenir Next" w:hAnsi="Avenir Next"/>
          <w:sz w:val="24"/>
          <w:szCs w:val="24"/>
        </w:rPr>
        <w:t xml:space="preserve"> se presentan los estados de conservación de las obras </w:t>
      </w:r>
      <w:r w:rsidRPr="002667B2">
        <w:rPr>
          <w:rFonts w:ascii="Avenir Next" w:hAnsi="Avenir Next"/>
          <w:i/>
          <w:sz w:val="24"/>
          <w:szCs w:val="24"/>
        </w:rPr>
        <w:t>El puente</w:t>
      </w:r>
      <w:r w:rsidRPr="002667B2">
        <w:rPr>
          <w:rFonts w:ascii="Avenir Next" w:hAnsi="Avenir Next"/>
          <w:sz w:val="24"/>
          <w:szCs w:val="24"/>
        </w:rPr>
        <w:t xml:space="preserve"> y </w:t>
      </w:r>
      <w:r w:rsidRPr="002667B2">
        <w:rPr>
          <w:rFonts w:ascii="Avenir Next" w:hAnsi="Avenir Next"/>
          <w:i/>
          <w:sz w:val="24"/>
          <w:szCs w:val="24"/>
        </w:rPr>
        <w:t>Paisaje con casa campesina</w:t>
      </w:r>
      <w:r w:rsidRPr="002667B2">
        <w:rPr>
          <w:rFonts w:ascii="Avenir Next" w:hAnsi="Avenir Next"/>
          <w:sz w:val="24"/>
          <w:szCs w:val="24"/>
        </w:rPr>
        <w:t xml:space="preserve"> elaborados por el departamento de Colecciones de los Museos del Banco Central, a partir del análisis macroscópico que permitió determinar los indicadores de deterioro presentes en las obras.</w:t>
      </w:r>
    </w:p>
    <w:p w14:paraId="027AE32C" w14:textId="77777777" w:rsidR="00144113" w:rsidRPr="00EE1787" w:rsidRDefault="00AA5394">
      <w:pPr>
        <w:spacing w:before="240" w:after="240" w:line="240" w:lineRule="auto"/>
        <w:jc w:val="both"/>
        <w:rPr>
          <w:rFonts w:ascii="Avenir Next" w:hAnsi="Avenir Next"/>
          <w:i/>
          <w:sz w:val="24"/>
          <w:szCs w:val="24"/>
        </w:rPr>
      </w:pPr>
      <w:r w:rsidRPr="00EE1787">
        <w:rPr>
          <w:rFonts w:ascii="Avenir Next" w:hAnsi="Avenir Next"/>
          <w:i/>
          <w:sz w:val="24"/>
          <w:szCs w:val="24"/>
        </w:rPr>
        <w:t>El puente</w:t>
      </w:r>
    </w:p>
    <w:p w14:paraId="3F69B918" w14:textId="77777777" w:rsidR="00144113" w:rsidRPr="002667B2" w:rsidRDefault="00EE1787">
      <w:pPr>
        <w:spacing w:before="240" w:after="240" w:line="240" w:lineRule="auto"/>
        <w:jc w:val="both"/>
        <w:rPr>
          <w:rFonts w:ascii="Avenir Next" w:hAnsi="Avenir Next"/>
          <w:sz w:val="24"/>
          <w:szCs w:val="24"/>
        </w:rPr>
      </w:pPr>
      <w:r>
        <w:rPr>
          <w:rFonts w:ascii="Avenir Next" w:hAnsi="Avenir Next"/>
          <w:sz w:val="24"/>
          <w:szCs w:val="24"/>
        </w:rPr>
        <w:t xml:space="preserve">La obra </w:t>
      </w:r>
      <w:r w:rsidRPr="00EE1787">
        <w:rPr>
          <w:rFonts w:ascii="Avenir Next" w:hAnsi="Avenir Next"/>
          <w:i/>
          <w:iCs/>
          <w:sz w:val="24"/>
          <w:szCs w:val="24"/>
        </w:rPr>
        <w:t>El puente</w:t>
      </w:r>
      <w:r w:rsidR="00AA5394" w:rsidRPr="002667B2">
        <w:rPr>
          <w:rFonts w:ascii="Avenir Next" w:hAnsi="Avenir Next"/>
          <w:sz w:val="24"/>
          <w:szCs w:val="24"/>
        </w:rPr>
        <w:t xml:space="preserve"> tiene un estado de conservación general estable y su condición es regular, ya que presenta algunos indicadores de deterioro que afectan su legibilidad.</w:t>
      </w:r>
    </w:p>
    <w:p w14:paraId="55EEAAB5" w14:textId="77777777"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 xml:space="preserve">En el frente de la obra se puede observar una mancha de agua en el centro del puente, la cual podría ser producto de la técnica del artista o de un derrame posterior de líquido en </w:t>
      </w:r>
      <w:r w:rsidR="000821A8" w:rsidRPr="000821A8">
        <w:rPr>
          <w:rFonts w:ascii="Avenir Next" w:hAnsi="Avenir Next"/>
          <w:sz w:val="24"/>
          <w:szCs w:val="24"/>
        </w:rPr>
        <w:t>dicha</w:t>
      </w:r>
      <w:r w:rsidRPr="000821A8">
        <w:rPr>
          <w:rFonts w:ascii="Avenir Next" w:hAnsi="Avenir Next"/>
          <w:sz w:val="24"/>
          <w:szCs w:val="24"/>
        </w:rPr>
        <w:t xml:space="preserve"> sección</w:t>
      </w:r>
      <w:r w:rsidRPr="002667B2">
        <w:rPr>
          <w:rFonts w:ascii="Avenir Next" w:hAnsi="Avenir Next"/>
          <w:sz w:val="24"/>
          <w:szCs w:val="24"/>
        </w:rPr>
        <w:t xml:space="preserve">. De manera general se puede observar suciedad, por la exposición a factores ambientales tales </w:t>
      </w:r>
      <w:r w:rsidRPr="002667B2">
        <w:rPr>
          <w:rFonts w:ascii="Avenir Next" w:hAnsi="Avenir Next"/>
          <w:sz w:val="24"/>
          <w:szCs w:val="24"/>
        </w:rPr>
        <w:lastRenderedPageBreak/>
        <w:t xml:space="preserve">como la luz, la humedad y </w:t>
      </w:r>
      <w:r w:rsidR="00EC2604">
        <w:rPr>
          <w:rFonts w:ascii="Avenir Next" w:hAnsi="Avenir Next"/>
          <w:sz w:val="24"/>
          <w:szCs w:val="24"/>
        </w:rPr>
        <w:t xml:space="preserve">los </w:t>
      </w:r>
      <w:r w:rsidRPr="002667B2">
        <w:rPr>
          <w:rFonts w:ascii="Avenir Next" w:hAnsi="Avenir Next"/>
          <w:sz w:val="24"/>
          <w:szCs w:val="24"/>
        </w:rPr>
        <w:t xml:space="preserve">contaminantes. Una marca de tonalidad más clara y uniforme se presenta alrededor de la obra, que parte desde el borde hacia el medio con un ancho aproximado de 1.5 cm, producto posiblemente del contacto con la marialuisa o del adhesivo presente en el reverso, ambos materiales adjuntos que </w:t>
      </w:r>
      <w:r w:rsidR="000821A8">
        <w:rPr>
          <w:rFonts w:ascii="Avenir Next" w:hAnsi="Avenir Next"/>
          <w:sz w:val="24"/>
          <w:szCs w:val="24"/>
        </w:rPr>
        <w:t>muy probable</w:t>
      </w:r>
      <w:r w:rsidRPr="002667B2">
        <w:rPr>
          <w:rFonts w:ascii="Avenir Next" w:hAnsi="Avenir Next"/>
          <w:sz w:val="24"/>
          <w:szCs w:val="24"/>
        </w:rPr>
        <w:t xml:space="preserve"> tenían una acidez mayor a la del soporte.</w:t>
      </w:r>
    </w:p>
    <w:p w14:paraId="4017BC31" w14:textId="77777777"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 xml:space="preserve">El reverso de la obra presenta un color amarillento producto de la oxidación del soporte, debido a la exposición de factores ambientales como la luz, </w:t>
      </w:r>
      <w:r w:rsidR="00EC2604">
        <w:rPr>
          <w:rFonts w:ascii="Avenir Next" w:hAnsi="Avenir Next"/>
          <w:sz w:val="24"/>
          <w:szCs w:val="24"/>
        </w:rPr>
        <w:t xml:space="preserve">la </w:t>
      </w:r>
      <w:r w:rsidRPr="002667B2">
        <w:rPr>
          <w:rFonts w:ascii="Avenir Next" w:hAnsi="Avenir Next"/>
          <w:sz w:val="24"/>
          <w:szCs w:val="24"/>
        </w:rPr>
        <w:t xml:space="preserve">humedad y </w:t>
      </w:r>
      <w:r w:rsidR="00EC2604">
        <w:rPr>
          <w:rFonts w:ascii="Avenir Next" w:hAnsi="Avenir Next"/>
          <w:sz w:val="24"/>
          <w:szCs w:val="24"/>
        </w:rPr>
        <w:t xml:space="preserve">los </w:t>
      </w:r>
      <w:r w:rsidRPr="002667B2">
        <w:rPr>
          <w:rFonts w:ascii="Avenir Next" w:hAnsi="Avenir Next"/>
          <w:sz w:val="24"/>
          <w:szCs w:val="24"/>
        </w:rPr>
        <w:t>contaminantes. Alrededor del borde se pueden apreciar residuos de un agente adhesivo, así como algunas marcas similares en otros puntos de la obra</w:t>
      </w:r>
      <w:r w:rsidR="00F7180E">
        <w:rPr>
          <w:rFonts w:ascii="Avenir Next" w:hAnsi="Avenir Next"/>
          <w:sz w:val="24"/>
          <w:szCs w:val="24"/>
        </w:rPr>
        <w:t xml:space="preserve"> que</w:t>
      </w:r>
      <w:r w:rsidRPr="002667B2">
        <w:rPr>
          <w:rFonts w:ascii="Avenir Next" w:hAnsi="Avenir Next"/>
          <w:sz w:val="24"/>
          <w:szCs w:val="24"/>
        </w:rPr>
        <w:t xml:space="preserve"> podrían estar indicando el uso de cintas. </w:t>
      </w:r>
      <w:r w:rsidR="00F66686" w:rsidRPr="00A44DC7">
        <w:rPr>
          <w:rFonts w:ascii="Avenir Next" w:hAnsi="Avenir Next"/>
          <w:sz w:val="24"/>
          <w:szCs w:val="24"/>
        </w:rPr>
        <w:t>Además, se evidencia</w:t>
      </w:r>
      <w:r w:rsidRPr="002667B2">
        <w:rPr>
          <w:rFonts w:ascii="Avenir Next" w:hAnsi="Avenir Next"/>
          <w:sz w:val="24"/>
          <w:szCs w:val="24"/>
        </w:rPr>
        <w:t xml:space="preserve"> la presencia de puntos de oxidación y desprendimientos del soporte (papel), producto de la remoción del adhesivo.</w:t>
      </w:r>
    </w:p>
    <w:p w14:paraId="699B86DB" w14:textId="77777777" w:rsidR="00144113" w:rsidRPr="000821A8" w:rsidRDefault="00AA5394">
      <w:pPr>
        <w:spacing w:before="240" w:after="240" w:line="240" w:lineRule="auto"/>
        <w:jc w:val="both"/>
        <w:rPr>
          <w:rFonts w:ascii="Avenir Next" w:hAnsi="Avenir Next"/>
          <w:i/>
          <w:sz w:val="24"/>
          <w:szCs w:val="24"/>
        </w:rPr>
      </w:pPr>
      <w:r w:rsidRPr="000821A8">
        <w:rPr>
          <w:rFonts w:ascii="Avenir Next" w:hAnsi="Avenir Next"/>
          <w:i/>
          <w:sz w:val="24"/>
          <w:szCs w:val="24"/>
        </w:rPr>
        <w:t>Paisaje con casa campesina</w:t>
      </w:r>
    </w:p>
    <w:p w14:paraId="0E915E59" w14:textId="77777777" w:rsidR="00144113" w:rsidRPr="002667B2" w:rsidRDefault="00F7180E">
      <w:pPr>
        <w:spacing w:before="240" w:after="240" w:line="240" w:lineRule="auto"/>
        <w:jc w:val="both"/>
        <w:rPr>
          <w:rFonts w:ascii="Avenir Next" w:hAnsi="Avenir Next"/>
          <w:sz w:val="24"/>
          <w:szCs w:val="24"/>
        </w:rPr>
      </w:pPr>
      <w:r>
        <w:rPr>
          <w:rFonts w:ascii="Avenir Next" w:hAnsi="Avenir Next"/>
          <w:sz w:val="24"/>
          <w:szCs w:val="24"/>
        </w:rPr>
        <w:t xml:space="preserve">La obra </w:t>
      </w:r>
      <w:r w:rsidRPr="00F7180E">
        <w:rPr>
          <w:rFonts w:ascii="Avenir Next" w:hAnsi="Avenir Next"/>
          <w:i/>
          <w:iCs/>
          <w:sz w:val="24"/>
          <w:szCs w:val="24"/>
        </w:rPr>
        <w:t>Paisaje con casa campesina</w:t>
      </w:r>
      <w:r w:rsidR="00AA5394" w:rsidRPr="002667B2">
        <w:rPr>
          <w:rFonts w:ascii="Avenir Next" w:hAnsi="Avenir Next"/>
          <w:sz w:val="24"/>
          <w:szCs w:val="24"/>
        </w:rPr>
        <w:t xml:space="preserve"> tiene un estado de conservación general estable y su condición es regular, ya que presenta algunos indicadores de deterioro que afectan su legibilidad.</w:t>
      </w:r>
    </w:p>
    <w:p w14:paraId="79DD2730" w14:textId="77777777"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En el frente de la obra se puede observar una mancha de agua en la sección inferior izquierda ubicada en el primer plano (hierbas color verde), la cual podría ser producto de la técnica del artista o de un derrame posterior de líquid</w:t>
      </w:r>
      <w:r w:rsidR="00F7180E">
        <w:rPr>
          <w:rFonts w:ascii="Avenir Next" w:hAnsi="Avenir Next"/>
          <w:sz w:val="24"/>
          <w:szCs w:val="24"/>
        </w:rPr>
        <w:t>o</w:t>
      </w:r>
      <w:r w:rsidRPr="002667B2">
        <w:rPr>
          <w:rFonts w:ascii="Avenir Next" w:hAnsi="Avenir Next"/>
          <w:sz w:val="24"/>
          <w:szCs w:val="24"/>
        </w:rPr>
        <w:t>. De manera general se puede observar suciedad leve, por la exposición a factores ambientales tales como la luz,</w:t>
      </w:r>
      <w:r w:rsidR="000C0293">
        <w:rPr>
          <w:rFonts w:ascii="Avenir Next" w:hAnsi="Avenir Next"/>
          <w:sz w:val="24"/>
          <w:szCs w:val="24"/>
        </w:rPr>
        <w:t xml:space="preserve"> </w:t>
      </w:r>
      <w:r w:rsidRPr="002667B2">
        <w:rPr>
          <w:rFonts w:ascii="Avenir Next" w:hAnsi="Avenir Next"/>
          <w:sz w:val="24"/>
          <w:szCs w:val="24"/>
        </w:rPr>
        <w:t xml:space="preserve">la humedad y </w:t>
      </w:r>
      <w:r w:rsidR="000C0293">
        <w:rPr>
          <w:rFonts w:ascii="Avenir Next" w:hAnsi="Avenir Next"/>
          <w:sz w:val="24"/>
          <w:szCs w:val="24"/>
        </w:rPr>
        <w:t xml:space="preserve">los </w:t>
      </w:r>
      <w:r w:rsidRPr="002667B2">
        <w:rPr>
          <w:rFonts w:ascii="Avenir Next" w:hAnsi="Avenir Next"/>
          <w:sz w:val="24"/>
          <w:szCs w:val="24"/>
        </w:rPr>
        <w:t xml:space="preserve">contaminantes. Una marca oscura, amarillenta y uniforme se presenta en el borde alrededor de la obra, producto posiblemente del contacto con la marialuisa o del adhesivo presente en el reverso, ambos materiales adjuntos que </w:t>
      </w:r>
      <w:r w:rsidR="00F7180E">
        <w:rPr>
          <w:rFonts w:ascii="Avenir Next" w:hAnsi="Avenir Next"/>
          <w:sz w:val="24"/>
          <w:szCs w:val="24"/>
        </w:rPr>
        <w:t xml:space="preserve">muy probable </w:t>
      </w:r>
      <w:r w:rsidRPr="002667B2">
        <w:rPr>
          <w:rFonts w:ascii="Avenir Next" w:hAnsi="Avenir Next"/>
          <w:sz w:val="24"/>
          <w:szCs w:val="24"/>
        </w:rPr>
        <w:t xml:space="preserve">tenían una acidez mayor a la del soporte. En la sección central de la casa, sobre el arbusto se puede apreciar una mancha de color blanco (pintura blanca), </w:t>
      </w:r>
      <w:r w:rsidR="00F7180E">
        <w:rPr>
          <w:rFonts w:ascii="Avenir Next" w:hAnsi="Avenir Next"/>
          <w:sz w:val="24"/>
          <w:szCs w:val="24"/>
        </w:rPr>
        <w:t>que también</w:t>
      </w:r>
      <w:r w:rsidRPr="002667B2">
        <w:rPr>
          <w:rFonts w:ascii="Avenir Next" w:hAnsi="Avenir Next"/>
          <w:sz w:val="24"/>
          <w:szCs w:val="24"/>
        </w:rPr>
        <w:t xml:space="preserve"> se pueden observar en la sección derecha de la casa contiguo a la ventana. Los </w:t>
      </w:r>
      <w:r w:rsidR="00D55D47">
        <w:rPr>
          <w:rFonts w:ascii="Avenir Next" w:hAnsi="Avenir Next"/>
          <w:sz w:val="24"/>
          <w:szCs w:val="24"/>
        </w:rPr>
        <w:t xml:space="preserve">extremos de la obra, conocido como </w:t>
      </w:r>
      <w:r w:rsidRPr="002667B2">
        <w:rPr>
          <w:rFonts w:ascii="Avenir Next" w:hAnsi="Avenir Next"/>
          <w:sz w:val="24"/>
          <w:szCs w:val="24"/>
        </w:rPr>
        <w:t>bordes</w:t>
      </w:r>
      <w:r w:rsidR="00D55D47">
        <w:rPr>
          <w:rFonts w:ascii="Avenir Next" w:hAnsi="Avenir Next"/>
          <w:sz w:val="24"/>
          <w:szCs w:val="24"/>
        </w:rPr>
        <w:t>,</w:t>
      </w:r>
      <w:r w:rsidRPr="002667B2">
        <w:rPr>
          <w:rFonts w:ascii="Avenir Next" w:hAnsi="Avenir Next"/>
          <w:sz w:val="24"/>
          <w:szCs w:val="24"/>
        </w:rPr>
        <w:t xml:space="preserve"> poseen un visible desgaste que </w:t>
      </w:r>
      <w:r w:rsidR="00D55D47">
        <w:rPr>
          <w:rFonts w:ascii="Avenir Next" w:hAnsi="Avenir Next"/>
          <w:sz w:val="24"/>
          <w:szCs w:val="24"/>
        </w:rPr>
        <w:t xml:space="preserve">probablemente </w:t>
      </w:r>
      <w:r w:rsidRPr="00D55D47">
        <w:rPr>
          <w:rFonts w:ascii="Avenir Next" w:hAnsi="Avenir Next"/>
          <w:sz w:val="24"/>
          <w:szCs w:val="24"/>
        </w:rPr>
        <w:t>produj</w:t>
      </w:r>
      <w:r w:rsidR="00F66686" w:rsidRPr="00D55D47">
        <w:rPr>
          <w:rFonts w:ascii="Avenir Next" w:hAnsi="Avenir Next"/>
          <w:sz w:val="24"/>
          <w:szCs w:val="24"/>
        </w:rPr>
        <w:t>o</w:t>
      </w:r>
      <w:r w:rsidRPr="002667B2">
        <w:rPr>
          <w:rFonts w:ascii="Avenir Next" w:hAnsi="Avenir Next"/>
          <w:sz w:val="24"/>
          <w:szCs w:val="24"/>
        </w:rPr>
        <w:t xml:space="preserve"> desprendimientos aleatorios. </w:t>
      </w:r>
    </w:p>
    <w:p w14:paraId="343558BF" w14:textId="77777777"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 xml:space="preserve">El reverso de la obra presenta un color amarillento producto de la oxidación del soporte, debido a la exposición de factores ambientales como la luz, </w:t>
      </w:r>
      <w:r w:rsidR="003137E7">
        <w:rPr>
          <w:rFonts w:ascii="Avenir Next" w:hAnsi="Avenir Next"/>
          <w:sz w:val="24"/>
          <w:szCs w:val="24"/>
        </w:rPr>
        <w:t xml:space="preserve">la </w:t>
      </w:r>
      <w:r w:rsidRPr="002667B2">
        <w:rPr>
          <w:rFonts w:ascii="Avenir Next" w:hAnsi="Avenir Next"/>
          <w:sz w:val="24"/>
          <w:szCs w:val="24"/>
        </w:rPr>
        <w:t xml:space="preserve">humedad y </w:t>
      </w:r>
      <w:r w:rsidR="003137E7">
        <w:rPr>
          <w:rFonts w:ascii="Avenir Next" w:hAnsi="Avenir Next"/>
          <w:sz w:val="24"/>
          <w:szCs w:val="24"/>
        </w:rPr>
        <w:t xml:space="preserve">los </w:t>
      </w:r>
      <w:r w:rsidRPr="002667B2">
        <w:rPr>
          <w:rFonts w:ascii="Avenir Next" w:hAnsi="Avenir Next"/>
          <w:sz w:val="24"/>
          <w:szCs w:val="24"/>
        </w:rPr>
        <w:t xml:space="preserve">contaminantes. Alrededor del borde se pueden apreciar residuos de un agente adhesivo, marcas similares al trazo de una brocha se presentan </w:t>
      </w:r>
      <w:r w:rsidR="00F7180E">
        <w:rPr>
          <w:rFonts w:ascii="Avenir Next" w:hAnsi="Avenir Next"/>
          <w:sz w:val="24"/>
          <w:szCs w:val="24"/>
        </w:rPr>
        <w:t>en el</w:t>
      </w:r>
      <w:r w:rsidRPr="002667B2">
        <w:rPr>
          <w:rFonts w:ascii="Avenir Next" w:hAnsi="Avenir Next"/>
          <w:sz w:val="24"/>
          <w:szCs w:val="24"/>
        </w:rPr>
        <w:t xml:space="preserve"> medio de la obra lo que podría estar indicando que la obra tuvo un segundo soporte. Otro elemento</w:t>
      </w:r>
      <w:r w:rsidR="00F7180E">
        <w:rPr>
          <w:rFonts w:ascii="Avenir Next" w:hAnsi="Avenir Next"/>
          <w:sz w:val="24"/>
          <w:szCs w:val="24"/>
        </w:rPr>
        <w:t xml:space="preserve"> </w:t>
      </w:r>
      <w:r w:rsidRPr="002667B2">
        <w:rPr>
          <w:rFonts w:ascii="Avenir Next" w:hAnsi="Avenir Next"/>
          <w:sz w:val="24"/>
          <w:szCs w:val="24"/>
        </w:rPr>
        <w:t>que se pudo registrar es la presencia de puntos de oxidación y desprendimientos del soporte (papel), producto de la remoción del adhesivo.</w:t>
      </w:r>
    </w:p>
    <w:p w14:paraId="7D9A580C" w14:textId="77777777" w:rsidR="00144113" w:rsidRPr="002667B2" w:rsidRDefault="00AA5394">
      <w:pPr>
        <w:spacing w:before="240" w:after="240" w:line="240" w:lineRule="auto"/>
        <w:jc w:val="both"/>
        <w:rPr>
          <w:rFonts w:ascii="Avenir Next" w:hAnsi="Avenir Next"/>
          <w:sz w:val="24"/>
          <w:szCs w:val="24"/>
        </w:rPr>
      </w:pPr>
      <w:r w:rsidRPr="002667B2">
        <w:rPr>
          <w:rFonts w:ascii="Avenir Next" w:hAnsi="Avenir Next"/>
          <w:sz w:val="24"/>
          <w:szCs w:val="24"/>
        </w:rPr>
        <w:t xml:space="preserve">En general </w:t>
      </w:r>
      <w:r w:rsidR="00F7180E" w:rsidRPr="00F7180E">
        <w:rPr>
          <w:rFonts w:ascii="Avenir Next" w:hAnsi="Avenir Next"/>
          <w:sz w:val="24"/>
          <w:szCs w:val="24"/>
        </w:rPr>
        <w:t>las dos</w:t>
      </w:r>
      <w:r w:rsidRPr="00F7180E">
        <w:rPr>
          <w:rFonts w:ascii="Avenir Next" w:hAnsi="Avenir Next"/>
          <w:sz w:val="24"/>
          <w:szCs w:val="24"/>
        </w:rPr>
        <w:t xml:space="preserve"> obras</w:t>
      </w:r>
      <w:r w:rsidRPr="002667B2">
        <w:rPr>
          <w:rFonts w:ascii="Avenir Next" w:hAnsi="Avenir Next"/>
          <w:sz w:val="24"/>
          <w:szCs w:val="24"/>
        </w:rPr>
        <w:t xml:space="preserve"> presentan una condición regular por la exposición a agentes ambientales y materiales adjuntos, los cuales afectaron su condición con el pasar de los años y su legibilidad; sin embargo, su estado de conservación es estable debido a que presenta</w:t>
      </w:r>
      <w:r w:rsidR="00F7180E">
        <w:rPr>
          <w:rFonts w:ascii="Avenir Next" w:hAnsi="Avenir Next"/>
          <w:sz w:val="24"/>
          <w:szCs w:val="24"/>
        </w:rPr>
        <w:t>n</w:t>
      </w:r>
      <w:r w:rsidRPr="002667B2">
        <w:rPr>
          <w:rFonts w:ascii="Avenir Next" w:hAnsi="Avenir Next"/>
          <w:sz w:val="24"/>
          <w:szCs w:val="24"/>
        </w:rPr>
        <w:t xml:space="preserve"> una estructura e integridad adecuadas.  </w:t>
      </w:r>
    </w:p>
    <w:p w14:paraId="2530BB33"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t>Fotografía Multiespectral</w:t>
      </w:r>
    </w:p>
    <w:p w14:paraId="598A4A4C" w14:textId="48EC0F51" w:rsidR="00144113" w:rsidRPr="002667B2" w:rsidRDefault="00AA5394">
      <w:pPr>
        <w:spacing w:after="200" w:line="240" w:lineRule="auto"/>
        <w:jc w:val="both"/>
        <w:rPr>
          <w:rFonts w:ascii="Avenir Next" w:hAnsi="Avenir Next"/>
          <w:color w:val="FF0000"/>
          <w:sz w:val="24"/>
          <w:szCs w:val="24"/>
        </w:rPr>
      </w:pPr>
      <w:r w:rsidRPr="002667B2">
        <w:rPr>
          <w:rFonts w:ascii="Avenir Next" w:hAnsi="Avenir Next"/>
          <w:sz w:val="24"/>
          <w:szCs w:val="24"/>
        </w:rPr>
        <w:t xml:space="preserve">La técnica de MSI ayuda a obtener una aproximación muy cercana del objeto en estudio y así visualizar características que solo se podrían observar </w:t>
      </w:r>
      <w:r w:rsidRPr="00D55D47">
        <w:rPr>
          <w:rFonts w:ascii="Avenir Next" w:hAnsi="Avenir Next"/>
          <w:sz w:val="24"/>
          <w:szCs w:val="24"/>
        </w:rPr>
        <w:t>estando frente al mismo.</w:t>
      </w:r>
      <w:r w:rsidRPr="002667B2">
        <w:rPr>
          <w:rFonts w:ascii="Avenir Next" w:hAnsi="Avenir Next"/>
          <w:sz w:val="24"/>
          <w:szCs w:val="24"/>
        </w:rPr>
        <w:t xml:space="preserve"> Dos regiones del espectro electromagnético se exponen: en la figura </w:t>
      </w:r>
      <w:r w:rsidR="008F18CE">
        <w:rPr>
          <w:rFonts w:ascii="Avenir Next" w:hAnsi="Avenir Next"/>
          <w:sz w:val="24"/>
          <w:szCs w:val="24"/>
        </w:rPr>
        <w:t>2</w:t>
      </w:r>
      <w:r w:rsidRPr="002667B2">
        <w:rPr>
          <w:rFonts w:ascii="Avenir Next" w:hAnsi="Avenir Next"/>
          <w:sz w:val="24"/>
          <w:szCs w:val="24"/>
        </w:rPr>
        <w:t xml:space="preserve"> el anverso y reverso de ambas obras en VIS, y en la figura </w:t>
      </w:r>
      <w:r w:rsidR="008F18CE">
        <w:rPr>
          <w:rFonts w:ascii="Avenir Next" w:hAnsi="Avenir Next"/>
          <w:sz w:val="24"/>
          <w:szCs w:val="24"/>
        </w:rPr>
        <w:t>3</w:t>
      </w:r>
      <w:r w:rsidRPr="002667B2">
        <w:rPr>
          <w:rFonts w:ascii="Avenir Next" w:hAnsi="Avenir Next"/>
          <w:sz w:val="24"/>
          <w:szCs w:val="24"/>
        </w:rPr>
        <w:t xml:space="preserve"> el anverso y reverso de ambas obras en UV. Las fotografías en VIS se definen como una marca de tiempo o un establecimiento de la referencia inicial de la obra, es decir, a partir de ellas podemos conocer el estado de conservación hoy en día y por lo tanto se comportan como un </w:t>
      </w:r>
      <w:r w:rsidRPr="002667B2">
        <w:rPr>
          <w:rFonts w:ascii="Avenir Next" w:hAnsi="Avenir Next"/>
          <w:sz w:val="24"/>
          <w:szCs w:val="24"/>
        </w:rPr>
        <w:lastRenderedPageBreak/>
        <w:t xml:space="preserve">punto de comparación para determinar los cambios producidos a través del tiempo (Conover </w:t>
      </w:r>
      <w:r w:rsidRPr="002667B2">
        <w:rPr>
          <w:rFonts w:ascii="Avenir Next" w:hAnsi="Avenir Next"/>
          <w:iCs/>
          <w:sz w:val="24"/>
          <w:szCs w:val="24"/>
        </w:rPr>
        <w:t>et al.,</w:t>
      </w:r>
      <w:r w:rsidRPr="002667B2">
        <w:rPr>
          <w:rFonts w:ascii="Avenir Next" w:hAnsi="Avenir Next"/>
          <w:sz w:val="24"/>
          <w:szCs w:val="24"/>
        </w:rPr>
        <w:t xml:space="preserve"> 2015; Delaney </w:t>
      </w:r>
      <w:r w:rsidRPr="002667B2">
        <w:rPr>
          <w:rFonts w:ascii="Avenir Next" w:hAnsi="Avenir Next"/>
          <w:iCs/>
          <w:sz w:val="24"/>
          <w:szCs w:val="24"/>
        </w:rPr>
        <w:t>et al.,</w:t>
      </w:r>
      <w:r w:rsidRPr="002667B2">
        <w:rPr>
          <w:rFonts w:ascii="Avenir Next" w:hAnsi="Avenir Next"/>
          <w:sz w:val="24"/>
          <w:szCs w:val="24"/>
        </w:rPr>
        <w:t xml:space="preserve"> 2020).</w:t>
      </w:r>
    </w:p>
    <w:p w14:paraId="29513D59" w14:textId="347B413D"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Cabe mencionar que a partir de las fotografías en VIS se observa que </w:t>
      </w:r>
      <w:r w:rsidRPr="00D55D47">
        <w:rPr>
          <w:rFonts w:ascii="Avenir Next" w:hAnsi="Avenir Next"/>
          <w:sz w:val="24"/>
          <w:szCs w:val="24"/>
        </w:rPr>
        <w:t>ambas obras</w:t>
      </w:r>
      <w:r w:rsidRPr="002667B2">
        <w:rPr>
          <w:rFonts w:ascii="Avenir Next" w:hAnsi="Avenir Next"/>
          <w:sz w:val="24"/>
          <w:szCs w:val="24"/>
        </w:rPr>
        <w:t xml:space="preserve"> son sistemas complejos de arte detallado, que incluyen una gran variedad de colores, luminosidad y pinceladas. Asimismo, </w:t>
      </w:r>
      <w:r w:rsidRPr="00E83042">
        <w:rPr>
          <w:rFonts w:ascii="Avenir Next" w:hAnsi="Avenir Next"/>
          <w:sz w:val="24"/>
          <w:szCs w:val="24"/>
        </w:rPr>
        <w:t xml:space="preserve">estas </w:t>
      </w:r>
      <w:r w:rsidRPr="002667B2">
        <w:rPr>
          <w:rFonts w:ascii="Avenir Next" w:hAnsi="Avenir Next"/>
          <w:sz w:val="24"/>
          <w:szCs w:val="24"/>
        </w:rPr>
        <w:t xml:space="preserve">permiten conocer la paleta pictórica que el artista utilizó. Por ejemplo, en el anverso de ambas </w:t>
      </w:r>
      <w:r w:rsidR="00E83042" w:rsidRPr="008F18CE">
        <w:rPr>
          <w:rFonts w:ascii="Avenir Next" w:hAnsi="Avenir Next"/>
          <w:sz w:val="24"/>
          <w:szCs w:val="24"/>
        </w:rPr>
        <w:t>pinturas</w:t>
      </w:r>
      <w:r w:rsidRPr="008F18CE">
        <w:rPr>
          <w:rFonts w:ascii="Avenir Next" w:hAnsi="Avenir Next"/>
          <w:sz w:val="24"/>
          <w:szCs w:val="24"/>
        </w:rPr>
        <w:t xml:space="preserve"> (ver figura </w:t>
      </w:r>
      <w:r w:rsidR="008F18CE" w:rsidRPr="008F18CE">
        <w:rPr>
          <w:rFonts w:ascii="Avenir Next" w:hAnsi="Avenir Next"/>
          <w:sz w:val="24"/>
          <w:szCs w:val="24"/>
        </w:rPr>
        <w:t>2</w:t>
      </w:r>
      <w:r w:rsidRPr="008F18CE">
        <w:rPr>
          <w:rFonts w:ascii="Avenir Next" w:hAnsi="Avenir Next"/>
          <w:sz w:val="24"/>
          <w:szCs w:val="24"/>
        </w:rPr>
        <w:t xml:space="preserve">A y figura </w:t>
      </w:r>
      <w:r w:rsidR="008F18CE" w:rsidRPr="008F18CE">
        <w:rPr>
          <w:rFonts w:ascii="Avenir Next" w:hAnsi="Avenir Next"/>
          <w:sz w:val="24"/>
          <w:szCs w:val="24"/>
        </w:rPr>
        <w:t>2</w:t>
      </w:r>
      <w:r w:rsidRPr="008F18CE">
        <w:rPr>
          <w:rFonts w:ascii="Avenir Next" w:hAnsi="Avenir Next"/>
          <w:sz w:val="24"/>
          <w:szCs w:val="24"/>
        </w:rPr>
        <w:t>C)</w:t>
      </w:r>
      <w:r w:rsidRPr="002667B2">
        <w:rPr>
          <w:rFonts w:ascii="Avenir Next" w:hAnsi="Avenir Next"/>
          <w:sz w:val="24"/>
          <w:szCs w:val="24"/>
        </w:rPr>
        <w:t xml:space="preserve"> en la región de la vegetación se perciben diferentes tonos de verdes y amarillos que proporcionan la información de volumen y un efecto realista a la pintura. Sin embargo, es difícil diferenciar la posible cantidad de pigmentos utilizados </w:t>
      </w:r>
      <w:r w:rsidR="00E83042">
        <w:rPr>
          <w:rFonts w:ascii="Avenir Next" w:hAnsi="Avenir Next"/>
          <w:sz w:val="24"/>
          <w:szCs w:val="24"/>
        </w:rPr>
        <w:t xml:space="preserve">en la zona </w:t>
      </w:r>
      <w:r w:rsidRPr="002667B2">
        <w:rPr>
          <w:rFonts w:ascii="Avenir Next" w:hAnsi="Avenir Next"/>
          <w:sz w:val="24"/>
          <w:szCs w:val="24"/>
        </w:rPr>
        <w:t xml:space="preserve">y es necesario el uso de otras herramientas como las computacionales. </w:t>
      </w:r>
    </w:p>
    <w:p w14:paraId="2CAB3CDA"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En términos de composición de la obra, en las fotografías en VIS de </w:t>
      </w:r>
      <w:r w:rsidRPr="002667B2">
        <w:rPr>
          <w:rFonts w:ascii="Avenir Next" w:hAnsi="Avenir Next"/>
          <w:i/>
          <w:sz w:val="24"/>
          <w:szCs w:val="24"/>
        </w:rPr>
        <w:t>Paisaje con casa campesina</w:t>
      </w:r>
      <w:r w:rsidRPr="002667B2">
        <w:rPr>
          <w:rFonts w:ascii="Avenir Next" w:hAnsi="Avenir Next"/>
          <w:sz w:val="24"/>
          <w:szCs w:val="24"/>
        </w:rPr>
        <w:t>, se identificaron los planos de profundidad usualmente utilizados por el artista: un primer plano oscuro seguido por otros iluminados en los que se encontraba el elemento principal,</w:t>
      </w:r>
      <w:r w:rsidR="00E83042">
        <w:rPr>
          <w:rFonts w:ascii="Avenir Next" w:hAnsi="Avenir Next"/>
          <w:sz w:val="24"/>
          <w:szCs w:val="24"/>
        </w:rPr>
        <w:t xml:space="preserve"> </w:t>
      </w:r>
      <w:r w:rsidRPr="002667B2">
        <w:rPr>
          <w:rFonts w:ascii="Avenir Next" w:hAnsi="Avenir Next"/>
          <w:sz w:val="24"/>
          <w:szCs w:val="24"/>
        </w:rPr>
        <w:t xml:space="preserve">la casa de adobe. </w:t>
      </w:r>
      <w:r w:rsidRPr="00E83042">
        <w:rPr>
          <w:rFonts w:ascii="Avenir Next" w:hAnsi="Avenir Next"/>
          <w:sz w:val="24"/>
          <w:szCs w:val="24"/>
        </w:rPr>
        <w:t xml:space="preserve">En el caso </w:t>
      </w:r>
      <w:r w:rsidR="00E83042" w:rsidRPr="00E83042">
        <w:rPr>
          <w:rFonts w:ascii="Avenir Next" w:hAnsi="Avenir Next"/>
          <w:sz w:val="24"/>
          <w:szCs w:val="24"/>
        </w:rPr>
        <w:t>de</w:t>
      </w:r>
      <w:r w:rsidR="00E83042">
        <w:rPr>
          <w:rFonts w:ascii="Avenir Next" w:hAnsi="Avenir Next"/>
          <w:sz w:val="24"/>
          <w:szCs w:val="24"/>
        </w:rPr>
        <w:t xml:space="preserve"> </w:t>
      </w:r>
      <w:r w:rsidRPr="002667B2">
        <w:rPr>
          <w:rFonts w:ascii="Avenir Next" w:hAnsi="Avenir Next"/>
          <w:i/>
          <w:sz w:val="24"/>
          <w:szCs w:val="24"/>
        </w:rPr>
        <w:t>El puente</w:t>
      </w:r>
      <w:r w:rsidRPr="002667B2">
        <w:rPr>
          <w:rFonts w:ascii="Avenir Next" w:hAnsi="Avenir Next"/>
          <w:sz w:val="24"/>
          <w:szCs w:val="24"/>
        </w:rPr>
        <w:t>, los planos mencionados anteriormente no son identificados, se observa un único plano en el que está presente el puente como elemento principal.</w:t>
      </w:r>
    </w:p>
    <w:p w14:paraId="404A2F8B" w14:textId="4A33A54C"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En el caso del reverso de </w:t>
      </w:r>
      <w:r w:rsidRPr="00E83042">
        <w:rPr>
          <w:rFonts w:ascii="Avenir Next" w:hAnsi="Avenir Next"/>
          <w:sz w:val="24"/>
          <w:szCs w:val="24"/>
        </w:rPr>
        <w:t xml:space="preserve">ambas </w:t>
      </w:r>
      <w:r w:rsidRPr="008F18CE">
        <w:rPr>
          <w:rFonts w:ascii="Avenir Next" w:hAnsi="Avenir Next"/>
          <w:sz w:val="24"/>
          <w:szCs w:val="24"/>
        </w:rPr>
        <w:t xml:space="preserve">obras (ver figura </w:t>
      </w:r>
      <w:r w:rsidR="008F18CE" w:rsidRPr="008F18CE">
        <w:rPr>
          <w:rFonts w:ascii="Avenir Next" w:hAnsi="Avenir Next"/>
          <w:sz w:val="24"/>
          <w:szCs w:val="24"/>
        </w:rPr>
        <w:t>2</w:t>
      </w:r>
      <w:r w:rsidRPr="008F18CE">
        <w:rPr>
          <w:rFonts w:ascii="Avenir Next" w:hAnsi="Avenir Next"/>
          <w:sz w:val="24"/>
          <w:szCs w:val="24"/>
        </w:rPr>
        <w:t xml:space="preserve">B y figura </w:t>
      </w:r>
      <w:r w:rsidR="008F18CE" w:rsidRPr="008F18CE">
        <w:rPr>
          <w:rFonts w:ascii="Avenir Next" w:hAnsi="Avenir Next"/>
          <w:sz w:val="24"/>
          <w:szCs w:val="24"/>
        </w:rPr>
        <w:t>2</w:t>
      </w:r>
      <w:r w:rsidRPr="008F18CE">
        <w:rPr>
          <w:rFonts w:ascii="Avenir Next" w:hAnsi="Avenir Next"/>
          <w:sz w:val="24"/>
          <w:szCs w:val="24"/>
        </w:rPr>
        <w:t>D)</w:t>
      </w:r>
      <w:r w:rsidRPr="002667B2">
        <w:rPr>
          <w:rFonts w:ascii="Avenir Next" w:hAnsi="Avenir Next"/>
          <w:sz w:val="24"/>
          <w:szCs w:val="24"/>
        </w:rPr>
        <w:t xml:space="preserve"> se puede distinguir una especie de color amarillento, parcial de algunas zonas, provocado probablemente por la oxidación del papel (Mosca Conte </w:t>
      </w:r>
      <w:r w:rsidRPr="002667B2">
        <w:rPr>
          <w:rFonts w:ascii="Avenir Next" w:hAnsi="Avenir Next"/>
          <w:i/>
          <w:sz w:val="24"/>
          <w:szCs w:val="24"/>
        </w:rPr>
        <w:t>et al</w:t>
      </w:r>
      <w:r w:rsidRPr="002667B2">
        <w:rPr>
          <w:rFonts w:ascii="Avenir Next" w:hAnsi="Avenir Next"/>
          <w:sz w:val="24"/>
          <w:szCs w:val="24"/>
        </w:rPr>
        <w:t xml:space="preserve">., 2012). Así como posibles restos de cintas y en el caso </w:t>
      </w:r>
      <w:r w:rsidR="00E83042">
        <w:rPr>
          <w:rFonts w:ascii="Avenir Next" w:hAnsi="Avenir Next"/>
          <w:sz w:val="24"/>
          <w:szCs w:val="24"/>
        </w:rPr>
        <w:t>de</w:t>
      </w:r>
      <w:r w:rsidRPr="002667B2">
        <w:rPr>
          <w:rFonts w:ascii="Avenir Next" w:hAnsi="Avenir Next"/>
          <w:sz w:val="24"/>
          <w:szCs w:val="24"/>
        </w:rPr>
        <w:t xml:space="preserve"> </w:t>
      </w:r>
      <w:r w:rsidRPr="002667B2">
        <w:rPr>
          <w:rFonts w:ascii="Avenir Next" w:hAnsi="Avenir Next"/>
          <w:i/>
          <w:sz w:val="24"/>
          <w:szCs w:val="24"/>
        </w:rPr>
        <w:t>El puente</w:t>
      </w:r>
      <w:r w:rsidRPr="002667B2">
        <w:rPr>
          <w:rFonts w:ascii="Avenir Next" w:hAnsi="Avenir Next"/>
          <w:sz w:val="24"/>
          <w:szCs w:val="24"/>
        </w:rPr>
        <w:t xml:space="preserve"> se evidencia una leyenda escrita en la zona central con la que se podría definir una guía para ubicar la obra</w:t>
      </w:r>
      <w:r w:rsidR="00E83042">
        <w:rPr>
          <w:rFonts w:ascii="Avenir Next" w:hAnsi="Avenir Next"/>
          <w:sz w:val="24"/>
          <w:szCs w:val="24"/>
        </w:rPr>
        <w:t xml:space="preserve"> en el tiempo.</w:t>
      </w:r>
      <w:r w:rsidRPr="002667B2">
        <w:rPr>
          <w:rFonts w:ascii="Avenir Next" w:hAnsi="Avenir Next"/>
          <w:sz w:val="24"/>
          <w:szCs w:val="24"/>
        </w:rPr>
        <w:t xml:space="preserve"> Asimismo, se encontró otra leyenda escrita en el borde que podría corresponder a información de la marialuisa original de la obra. Las fotografías en VIS proporcionan imágenes de la obra que actúan como referencia </w:t>
      </w:r>
      <w:r w:rsidR="00D55D47">
        <w:rPr>
          <w:rFonts w:ascii="Avenir Next" w:hAnsi="Avenir Next"/>
          <w:sz w:val="24"/>
          <w:szCs w:val="24"/>
        </w:rPr>
        <w:t xml:space="preserve">para </w:t>
      </w:r>
      <w:r w:rsidRPr="002667B2">
        <w:rPr>
          <w:rFonts w:ascii="Avenir Next" w:hAnsi="Avenir Next"/>
          <w:sz w:val="24"/>
          <w:szCs w:val="24"/>
        </w:rPr>
        <w:t>evidencia</w:t>
      </w:r>
      <w:r w:rsidR="00E83042">
        <w:rPr>
          <w:rFonts w:ascii="Avenir Next" w:hAnsi="Avenir Next"/>
          <w:sz w:val="24"/>
          <w:szCs w:val="24"/>
        </w:rPr>
        <w:t>r</w:t>
      </w:r>
      <w:r w:rsidRPr="002667B2">
        <w:rPr>
          <w:rFonts w:ascii="Avenir Next" w:hAnsi="Avenir Next"/>
          <w:sz w:val="24"/>
          <w:szCs w:val="24"/>
        </w:rPr>
        <w:t xml:space="preserve"> con otras representaciones multiespectrales y en el establecimiento del estado de conservación (Conover</w:t>
      </w:r>
      <w:r w:rsidRPr="002667B2">
        <w:rPr>
          <w:rFonts w:ascii="Avenir Next" w:hAnsi="Avenir Next"/>
          <w:i/>
          <w:iCs/>
          <w:sz w:val="24"/>
          <w:szCs w:val="24"/>
        </w:rPr>
        <w:t xml:space="preserve"> </w:t>
      </w:r>
      <w:r w:rsidRPr="002667B2">
        <w:rPr>
          <w:rFonts w:ascii="Avenir Next" w:hAnsi="Avenir Next"/>
          <w:sz w:val="24"/>
          <w:szCs w:val="24"/>
        </w:rPr>
        <w:t>et al., 2015).</w:t>
      </w:r>
    </w:p>
    <w:p w14:paraId="790EB1BF"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Las imágenes de las fotografías en UV muestran la fluorescencia de cada material y a partir de estas es posible revelar características de las capas más externas de las obras. El barniz suele tener una fuerte fluorescencia, eclipsando la del pigmento (Cosentino, 2015c). Sin embargo, las acuarelas no se suelen barnizar, por lo regular se enmarcan como en el caso estudiado aquí, o se dejan al aire libre. No obstante, es posible darles un acabado brillante con el aglutinante, usualmente goma arábiga. </w:t>
      </w:r>
      <w:r w:rsidRPr="00C25489">
        <w:rPr>
          <w:rFonts w:ascii="Avenir Next" w:hAnsi="Avenir Next"/>
          <w:sz w:val="24"/>
          <w:szCs w:val="24"/>
        </w:rPr>
        <w:t>E</w:t>
      </w:r>
      <w:r w:rsidR="00C25489" w:rsidRPr="00C25489">
        <w:rPr>
          <w:rFonts w:ascii="Avenir Next" w:hAnsi="Avenir Next"/>
          <w:sz w:val="24"/>
          <w:szCs w:val="24"/>
        </w:rPr>
        <w:t>l</w:t>
      </w:r>
      <w:r w:rsidRPr="00C25489">
        <w:rPr>
          <w:rFonts w:ascii="Avenir Next" w:hAnsi="Avenir Next"/>
          <w:sz w:val="24"/>
          <w:szCs w:val="24"/>
        </w:rPr>
        <w:t xml:space="preserve"> aglutinante, en su aplicación unifica los pigmentos de la acuarela sobre el papel (Blake, 1997). Para </w:t>
      </w:r>
      <w:r w:rsidR="00C25489" w:rsidRPr="00C25489">
        <w:rPr>
          <w:rFonts w:ascii="Avenir Next" w:hAnsi="Avenir Next"/>
          <w:sz w:val="24"/>
          <w:szCs w:val="24"/>
        </w:rPr>
        <w:t>las</w:t>
      </w:r>
      <w:r w:rsidRPr="00C25489">
        <w:rPr>
          <w:rFonts w:ascii="Avenir Next" w:hAnsi="Avenir Next"/>
          <w:sz w:val="24"/>
          <w:szCs w:val="24"/>
        </w:rPr>
        <w:t xml:space="preserve"> obras en estudio, de acuerdo con los informes del estado de conservación realizados en</w:t>
      </w:r>
      <w:r w:rsidRPr="002667B2">
        <w:rPr>
          <w:rFonts w:ascii="Avenir Next" w:hAnsi="Avenir Next"/>
          <w:sz w:val="24"/>
          <w:szCs w:val="24"/>
        </w:rPr>
        <w:t xml:space="preserve"> el 2011 por la empresa Conservación y Restauración de Obras de Arte (ConArte), no está presente ningún tipo de barniz, por lo tanto</w:t>
      </w:r>
      <w:r w:rsidR="000F2088" w:rsidRPr="002667B2">
        <w:rPr>
          <w:rFonts w:ascii="Avenir Next" w:hAnsi="Avenir Next"/>
          <w:sz w:val="24"/>
          <w:szCs w:val="24"/>
        </w:rPr>
        <w:t>,</w:t>
      </w:r>
      <w:r w:rsidRPr="002667B2">
        <w:rPr>
          <w:rFonts w:ascii="Avenir Next" w:hAnsi="Avenir Next"/>
          <w:sz w:val="24"/>
          <w:szCs w:val="24"/>
        </w:rPr>
        <w:t xml:space="preserve"> no se observó</w:t>
      </w:r>
      <w:r w:rsidR="00C25489">
        <w:rPr>
          <w:rFonts w:ascii="Avenir Next" w:hAnsi="Avenir Next"/>
          <w:sz w:val="24"/>
          <w:szCs w:val="24"/>
        </w:rPr>
        <w:t xml:space="preserve"> el</w:t>
      </w:r>
      <w:r w:rsidRPr="00C25489">
        <w:rPr>
          <w:rFonts w:ascii="Avenir Next" w:hAnsi="Avenir Next"/>
          <w:sz w:val="24"/>
          <w:szCs w:val="24"/>
        </w:rPr>
        <w:t xml:space="preserve"> efecto</w:t>
      </w:r>
      <w:r w:rsidR="00C25489" w:rsidRPr="00C25489">
        <w:rPr>
          <w:rFonts w:ascii="Avenir Next" w:hAnsi="Avenir Next"/>
          <w:sz w:val="24"/>
          <w:szCs w:val="24"/>
        </w:rPr>
        <w:t xml:space="preserve"> mencionado</w:t>
      </w:r>
      <w:r w:rsidRPr="00C25489">
        <w:rPr>
          <w:rFonts w:ascii="Avenir Next" w:hAnsi="Avenir Next"/>
          <w:sz w:val="24"/>
          <w:szCs w:val="24"/>
        </w:rPr>
        <w:t>.</w:t>
      </w:r>
      <w:r w:rsidRPr="002667B2">
        <w:rPr>
          <w:rFonts w:ascii="Avenir Next" w:hAnsi="Avenir Next"/>
          <w:sz w:val="24"/>
          <w:szCs w:val="24"/>
        </w:rPr>
        <w:t xml:space="preserve"> </w:t>
      </w:r>
    </w:p>
    <w:p w14:paraId="43C5ECD0" w14:textId="6B06BB12"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Las inspecciones visuales del anverso (</w:t>
      </w:r>
      <w:r w:rsidRPr="005D7AD3">
        <w:rPr>
          <w:rFonts w:ascii="Avenir Next" w:hAnsi="Avenir Next"/>
          <w:sz w:val="24"/>
          <w:szCs w:val="24"/>
        </w:rPr>
        <w:t xml:space="preserve">ver figura </w:t>
      </w:r>
      <w:r w:rsidR="00E4009A" w:rsidRPr="005D7AD3">
        <w:rPr>
          <w:rFonts w:ascii="Avenir Next" w:hAnsi="Avenir Next"/>
          <w:sz w:val="24"/>
          <w:szCs w:val="24"/>
        </w:rPr>
        <w:t>3</w:t>
      </w:r>
      <w:r w:rsidRPr="005D7AD3">
        <w:rPr>
          <w:rFonts w:ascii="Avenir Next" w:hAnsi="Avenir Next"/>
          <w:sz w:val="24"/>
          <w:szCs w:val="24"/>
        </w:rPr>
        <w:t xml:space="preserve">A y figura </w:t>
      </w:r>
      <w:r w:rsidR="00E4009A" w:rsidRPr="005D7AD3">
        <w:rPr>
          <w:rFonts w:ascii="Avenir Next" w:hAnsi="Avenir Next"/>
          <w:sz w:val="24"/>
          <w:szCs w:val="24"/>
        </w:rPr>
        <w:t>3</w:t>
      </w:r>
      <w:r w:rsidRPr="005D7AD3">
        <w:rPr>
          <w:rFonts w:ascii="Avenir Next" w:hAnsi="Avenir Next"/>
          <w:sz w:val="24"/>
          <w:szCs w:val="24"/>
        </w:rPr>
        <w:t xml:space="preserve">C) y el reverso (ver figura </w:t>
      </w:r>
      <w:r w:rsidR="00E4009A" w:rsidRPr="005D7AD3">
        <w:rPr>
          <w:rFonts w:ascii="Avenir Next" w:hAnsi="Avenir Next"/>
          <w:sz w:val="24"/>
          <w:szCs w:val="24"/>
        </w:rPr>
        <w:t>3</w:t>
      </w:r>
      <w:r w:rsidRPr="005D7AD3">
        <w:rPr>
          <w:rFonts w:ascii="Avenir Next" w:hAnsi="Avenir Next"/>
          <w:sz w:val="24"/>
          <w:szCs w:val="24"/>
        </w:rPr>
        <w:t xml:space="preserve">B y figura </w:t>
      </w:r>
      <w:r w:rsidR="005D7AD3" w:rsidRPr="005D7AD3">
        <w:rPr>
          <w:rFonts w:ascii="Avenir Next" w:hAnsi="Avenir Next"/>
          <w:sz w:val="24"/>
          <w:szCs w:val="24"/>
        </w:rPr>
        <w:t>3</w:t>
      </w:r>
      <w:r w:rsidRPr="005D7AD3">
        <w:rPr>
          <w:rFonts w:ascii="Avenir Next" w:hAnsi="Avenir Next"/>
          <w:sz w:val="24"/>
          <w:szCs w:val="24"/>
        </w:rPr>
        <w:t>D)</w:t>
      </w:r>
      <w:r w:rsidRPr="002667B2">
        <w:rPr>
          <w:rFonts w:ascii="Avenir Next" w:hAnsi="Avenir Next"/>
          <w:sz w:val="24"/>
          <w:szCs w:val="24"/>
        </w:rPr>
        <w:t xml:space="preserve"> de ambas obras, muestran que en las fotografías en UV se visualizaron manchas oscuras (ver figura 5A.1 y figura 5C.1) poco evidentes en las fotografías en VIS. </w:t>
      </w:r>
      <w:r w:rsidR="00C25489" w:rsidRPr="00C25489">
        <w:rPr>
          <w:rFonts w:ascii="Avenir Next" w:hAnsi="Avenir Next"/>
          <w:sz w:val="24"/>
          <w:szCs w:val="24"/>
        </w:rPr>
        <w:t>Las</w:t>
      </w:r>
      <w:r w:rsidRPr="00C25489">
        <w:rPr>
          <w:rFonts w:ascii="Avenir Next" w:hAnsi="Avenir Next"/>
          <w:sz w:val="24"/>
          <w:szCs w:val="24"/>
        </w:rPr>
        <w:t xml:space="preserve"> manchas</w:t>
      </w:r>
      <w:r w:rsidRPr="002667B2">
        <w:rPr>
          <w:rFonts w:ascii="Avenir Next" w:hAnsi="Avenir Next"/>
          <w:sz w:val="24"/>
          <w:szCs w:val="24"/>
        </w:rPr>
        <w:t xml:space="preserve"> bien representadas en algunos casos por círculos o elipses pueden ser categorizadas como indicios de microorganismos presentes. En el anverso de la obra </w:t>
      </w:r>
      <w:r w:rsidRPr="002667B2">
        <w:rPr>
          <w:rFonts w:ascii="Avenir Next" w:hAnsi="Avenir Next"/>
          <w:i/>
          <w:sz w:val="24"/>
          <w:szCs w:val="24"/>
        </w:rPr>
        <w:t>Paisaje con casa campesina</w:t>
      </w:r>
      <w:r w:rsidRPr="002667B2">
        <w:rPr>
          <w:rFonts w:ascii="Avenir Next" w:hAnsi="Avenir Next"/>
          <w:sz w:val="24"/>
          <w:szCs w:val="24"/>
        </w:rPr>
        <w:t xml:space="preserve">, donde se identificó una sección en el cielo con pinceladas que señalan la forma en que el autor realizó los degradados, la cual no se observa en VIS, cabe resaltar </w:t>
      </w:r>
      <w:r w:rsidR="000F2088" w:rsidRPr="002667B2">
        <w:rPr>
          <w:rFonts w:ascii="Avenir Next" w:hAnsi="Avenir Next"/>
          <w:sz w:val="24"/>
          <w:szCs w:val="24"/>
        </w:rPr>
        <w:t>que,</w:t>
      </w:r>
      <w:r w:rsidRPr="002667B2">
        <w:rPr>
          <w:rFonts w:ascii="Avenir Next" w:hAnsi="Avenir Next"/>
          <w:sz w:val="24"/>
          <w:szCs w:val="24"/>
        </w:rPr>
        <w:t xml:space="preserve"> para la creación de los celajes, Fausto Pacheco empleaba una técnica húmeda. Una posible explicación de lo anterior es que la acuarela al ser una técnica de lavados, cuando se agrega agua, el pigmento va a desaparecer en su mayoría, sin embargo</w:t>
      </w:r>
      <w:r w:rsidR="000F2088" w:rsidRPr="002667B2">
        <w:rPr>
          <w:rFonts w:ascii="Avenir Next" w:hAnsi="Avenir Next"/>
          <w:sz w:val="24"/>
          <w:szCs w:val="24"/>
        </w:rPr>
        <w:t>,</w:t>
      </w:r>
      <w:r w:rsidRPr="002667B2">
        <w:rPr>
          <w:rFonts w:ascii="Avenir Next" w:hAnsi="Avenir Next"/>
          <w:sz w:val="24"/>
          <w:szCs w:val="24"/>
        </w:rPr>
        <w:t xml:space="preserve"> parte del pigmento fue absorbido por el papel que a simple vista no es posible detectar (Blake, 1997). </w:t>
      </w:r>
    </w:p>
    <w:p w14:paraId="1B1ACE4B"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lastRenderedPageBreak/>
        <w:t>Herramientas Computacionales</w:t>
      </w:r>
    </w:p>
    <w:p w14:paraId="6E68C7D8"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La paleta pictórica del artista es la identidad de sus trabajos, si la conocemos, nos permite acercarnos de manera más íntima (Arnheim, 1998). </w:t>
      </w:r>
      <w:r w:rsidR="00F66686" w:rsidRPr="00B130B7">
        <w:rPr>
          <w:rFonts w:ascii="Avenir Next" w:hAnsi="Avenir Next"/>
          <w:sz w:val="24"/>
          <w:szCs w:val="24"/>
        </w:rPr>
        <w:t>Luego de</w:t>
      </w:r>
      <w:r w:rsidRPr="002667B2">
        <w:rPr>
          <w:rFonts w:ascii="Avenir Next" w:hAnsi="Avenir Next"/>
          <w:sz w:val="24"/>
          <w:szCs w:val="24"/>
        </w:rPr>
        <w:t xml:space="preserve"> un análisis visual de las obras pictóricas, se planteó la hipótesis de que el artista utilizó diversos colores específicos para realizarlas. Utilizó </w:t>
      </w:r>
      <w:r w:rsidR="00B130B7">
        <w:rPr>
          <w:rFonts w:ascii="Avenir Next" w:hAnsi="Avenir Next"/>
          <w:sz w:val="24"/>
          <w:szCs w:val="24"/>
        </w:rPr>
        <w:t xml:space="preserve">mayoritariamente </w:t>
      </w:r>
      <w:r w:rsidRPr="002667B2">
        <w:rPr>
          <w:rFonts w:ascii="Avenir Next" w:hAnsi="Avenir Next"/>
          <w:sz w:val="24"/>
          <w:szCs w:val="24"/>
        </w:rPr>
        <w:t xml:space="preserve">el azul, verde, café y amarillo para realizar la obra </w:t>
      </w:r>
      <w:r w:rsidRPr="00B130B7">
        <w:rPr>
          <w:rFonts w:ascii="Avenir Next" w:hAnsi="Avenir Next"/>
          <w:i/>
          <w:sz w:val="24"/>
          <w:szCs w:val="24"/>
        </w:rPr>
        <w:t xml:space="preserve">Paisaje con casa </w:t>
      </w:r>
      <w:r w:rsidR="00C25489" w:rsidRPr="00B130B7">
        <w:rPr>
          <w:rFonts w:ascii="Avenir Next" w:hAnsi="Avenir Next"/>
          <w:i/>
          <w:sz w:val="24"/>
          <w:szCs w:val="24"/>
        </w:rPr>
        <w:t>c</w:t>
      </w:r>
      <w:r w:rsidRPr="00B130B7">
        <w:rPr>
          <w:rFonts w:ascii="Avenir Next" w:hAnsi="Avenir Next"/>
          <w:i/>
          <w:sz w:val="24"/>
          <w:szCs w:val="24"/>
        </w:rPr>
        <w:t>ampesina</w:t>
      </w:r>
      <w:r w:rsidRPr="002667B2">
        <w:rPr>
          <w:rFonts w:ascii="Avenir Next" w:hAnsi="Avenir Next"/>
          <w:sz w:val="24"/>
          <w:szCs w:val="24"/>
        </w:rPr>
        <w:t xml:space="preserve"> y para la obra </w:t>
      </w:r>
      <w:r w:rsidRPr="002667B2">
        <w:rPr>
          <w:rFonts w:ascii="Avenir Next" w:hAnsi="Avenir Next"/>
          <w:i/>
          <w:sz w:val="24"/>
          <w:szCs w:val="24"/>
        </w:rPr>
        <w:t>El puente</w:t>
      </w:r>
      <w:r w:rsidRPr="002667B2">
        <w:rPr>
          <w:rFonts w:ascii="Avenir Next" w:hAnsi="Avenir Next"/>
          <w:sz w:val="24"/>
          <w:szCs w:val="24"/>
        </w:rPr>
        <w:t xml:space="preserve">, el azul, verde, amarillo, rojo, anaranjado y morado. Algunas de las marcas comerciales de acuarelas que Fausto Pacheco pudo haber utilizado son la Gumbracher® y Winsor and Newton®. En ambas opciones existen conjuntos de acuarelas que coinciden con posibles colores que el artista pudo haber utilizado y serán identificados en análisis posteriores. Es necesario aclarar que el color blanco como pigmento en la acuarela no existe, el papel blanco sustituye </w:t>
      </w:r>
      <w:r w:rsidRPr="00C25489">
        <w:rPr>
          <w:rFonts w:ascii="Avenir Next" w:hAnsi="Avenir Next"/>
          <w:sz w:val="24"/>
          <w:szCs w:val="24"/>
        </w:rPr>
        <w:t>e</w:t>
      </w:r>
      <w:r w:rsidR="00C25489" w:rsidRPr="00C25489">
        <w:rPr>
          <w:rFonts w:ascii="Avenir Next" w:hAnsi="Avenir Next"/>
          <w:sz w:val="24"/>
          <w:szCs w:val="24"/>
        </w:rPr>
        <w:t>l</w:t>
      </w:r>
      <w:r w:rsidRPr="00C25489">
        <w:rPr>
          <w:rFonts w:ascii="Avenir Next" w:hAnsi="Avenir Next"/>
          <w:sz w:val="24"/>
          <w:szCs w:val="24"/>
        </w:rPr>
        <w:t xml:space="preserve"> color</w:t>
      </w:r>
      <w:r w:rsidRPr="002667B2">
        <w:rPr>
          <w:rFonts w:ascii="Avenir Next" w:hAnsi="Avenir Next"/>
          <w:sz w:val="24"/>
          <w:szCs w:val="24"/>
        </w:rPr>
        <w:t xml:space="preserve"> utilizado en otras técnicas (Blake, 1997). Por lo anterior, en las hipótesis planteadas no se considera el color blanco. </w:t>
      </w:r>
    </w:p>
    <w:p w14:paraId="44C796F0"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Se analizaron </w:t>
      </w:r>
      <w:r w:rsidRPr="00333D5B">
        <w:rPr>
          <w:rFonts w:ascii="Avenir Next" w:hAnsi="Avenir Next"/>
          <w:sz w:val="24"/>
          <w:szCs w:val="24"/>
        </w:rPr>
        <w:t>las obras</w:t>
      </w:r>
      <w:r w:rsidRPr="002667B2">
        <w:rPr>
          <w:rFonts w:ascii="Avenir Next" w:hAnsi="Avenir Next"/>
          <w:sz w:val="24"/>
          <w:szCs w:val="24"/>
        </w:rPr>
        <w:t xml:space="preserve"> con el programa computacional </w:t>
      </w:r>
      <w:r w:rsidRPr="00805305">
        <w:rPr>
          <w:rFonts w:ascii="Avenir Next" w:hAnsi="Avenir Next"/>
          <w:iCs/>
          <w:sz w:val="24"/>
          <w:szCs w:val="24"/>
        </w:rPr>
        <w:t>RegionsOfInterest</w:t>
      </w:r>
      <w:r w:rsidRPr="002667B2">
        <w:rPr>
          <w:rFonts w:ascii="Avenir Next" w:hAnsi="Avenir Next"/>
          <w:sz w:val="24"/>
          <w:szCs w:val="24"/>
        </w:rPr>
        <w:t xml:space="preserve"> para</w:t>
      </w:r>
      <w:r w:rsidR="002B24E7">
        <w:rPr>
          <w:rFonts w:ascii="Avenir Next" w:hAnsi="Avenir Next"/>
          <w:sz w:val="24"/>
          <w:szCs w:val="24"/>
        </w:rPr>
        <w:t xml:space="preserve"> </w:t>
      </w:r>
      <w:r w:rsidRPr="002667B2">
        <w:rPr>
          <w:rFonts w:ascii="Avenir Next" w:hAnsi="Avenir Next"/>
          <w:sz w:val="24"/>
          <w:szCs w:val="24"/>
        </w:rPr>
        <w:t xml:space="preserve">identificar distribuciones de color que pudieran brindar información sobre la paleta pictórica. Para </w:t>
      </w:r>
      <w:r w:rsidRPr="002667B2">
        <w:rPr>
          <w:rFonts w:ascii="Avenir Next" w:hAnsi="Avenir Next"/>
          <w:i/>
          <w:sz w:val="24"/>
          <w:szCs w:val="24"/>
        </w:rPr>
        <w:t>Paisaje con casa campesina</w:t>
      </w:r>
      <w:r w:rsidRPr="002667B2">
        <w:rPr>
          <w:rFonts w:ascii="Avenir Next" w:hAnsi="Avenir Next"/>
          <w:sz w:val="24"/>
          <w:szCs w:val="24"/>
        </w:rPr>
        <w:t xml:space="preserve">, se examinaron los cuatro colores </w:t>
      </w:r>
      <w:r w:rsidRPr="00B130B7">
        <w:rPr>
          <w:rFonts w:ascii="Avenir Next" w:hAnsi="Avenir Next"/>
          <w:sz w:val="24"/>
          <w:szCs w:val="24"/>
        </w:rPr>
        <w:t>mencionados.</w:t>
      </w:r>
      <w:r w:rsidRPr="002667B2">
        <w:rPr>
          <w:rFonts w:ascii="Avenir Next" w:hAnsi="Avenir Next"/>
          <w:sz w:val="24"/>
          <w:szCs w:val="24"/>
        </w:rPr>
        <w:t xml:space="preserve"> Se encontró que el azul fue el color más prevalente en la acuarela total con aproximadamente un 25 %, seguido del verde con un 20 %, el amarillo con 15 %, mientras que el café fue el menor con un 10 </w:t>
      </w:r>
      <w:r w:rsidRPr="00B130B7">
        <w:rPr>
          <w:rFonts w:ascii="Avenir Next" w:hAnsi="Avenir Next"/>
          <w:sz w:val="24"/>
          <w:szCs w:val="24"/>
        </w:rPr>
        <w:t>%; estas intensidades</w:t>
      </w:r>
      <w:r w:rsidRPr="002667B2">
        <w:rPr>
          <w:rFonts w:ascii="Avenir Next" w:hAnsi="Avenir Next"/>
          <w:sz w:val="24"/>
          <w:szCs w:val="24"/>
        </w:rPr>
        <w:t xml:space="preserve"> de color constituyen aproximadamente un 70 % </w:t>
      </w:r>
      <w:r w:rsidRPr="00333D5B">
        <w:rPr>
          <w:rFonts w:ascii="Avenir Next" w:hAnsi="Avenir Next"/>
          <w:sz w:val="24"/>
          <w:szCs w:val="24"/>
        </w:rPr>
        <w:t xml:space="preserve">de </w:t>
      </w:r>
      <w:r w:rsidR="00333D5B" w:rsidRPr="00333D5B">
        <w:rPr>
          <w:rFonts w:ascii="Avenir Next" w:hAnsi="Avenir Next"/>
          <w:sz w:val="24"/>
          <w:szCs w:val="24"/>
        </w:rPr>
        <w:t>la</w:t>
      </w:r>
      <w:r w:rsidRPr="00333D5B">
        <w:rPr>
          <w:rFonts w:ascii="Avenir Next" w:hAnsi="Avenir Next"/>
          <w:sz w:val="24"/>
          <w:szCs w:val="24"/>
        </w:rPr>
        <w:t xml:space="preserve"> obra.</w:t>
      </w:r>
      <w:r w:rsidRPr="002667B2">
        <w:rPr>
          <w:rFonts w:ascii="Avenir Next" w:hAnsi="Avenir Next"/>
          <w:sz w:val="24"/>
          <w:szCs w:val="24"/>
        </w:rPr>
        <w:t xml:space="preserve"> </w:t>
      </w:r>
    </w:p>
    <w:p w14:paraId="37F65D90"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En el caso de </w:t>
      </w:r>
      <w:r w:rsidRPr="002667B2">
        <w:rPr>
          <w:rFonts w:ascii="Avenir Next" w:hAnsi="Avenir Next"/>
          <w:i/>
          <w:sz w:val="24"/>
          <w:szCs w:val="24"/>
        </w:rPr>
        <w:t>El puente</w:t>
      </w:r>
      <w:r w:rsidRPr="002667B2">
        <w:rPr>
          <w:rFonts w:ascii="Avenir Next" w:hAnsi="Avenir Next"/>
          <w:sz w:val="24"/>
          <w:szCs w:val="24"/>
        </w:rPr>
        <w:t>, los resultados muestran que el color más prevalente fue el verde con un 25</w:t>
      </w:r>
      <w:r w:rsidR="00B130B7">
        <w:rPr>
          <w:rFonts w:ascii="Avenir Next" w:hAnsi="Avenir Next"/>
          <w:sz w:val="24"/>
          <w:szCs w:val="24"/>
        </w:rPr>
        <w:t> </w:t>
      </w:r>
      <w:r w:rsidRPr="002667B2">
        <w:rPr>
          <w:rFonts w:ascii="Avenir Next" w:hAnsi="Avenir Next"/>
          <w:sz w:val="24"/>
          <w:szCs w:val="24"/>
        </w:rPr>
        <w:t xml:space="preserve">%, seguido del azul y morado con un 10 % cada uno, mientras que el rojo, amarillo y anaranjado fueron los menores con 5 % cada uno. </w:t>
      </w:r>
      <w:r w:rsidR="00333D5B" w:rsidRPr="00333D5B">
        <w:rPr>
          <w:rFonts w:ascii="Avenir Next" w:hAnsi="Avenir Next"/>
          <w:sz w:val="24"/>
          <w:szCs w:val="24"/>
        </w:rPr>
        <w:t>La</w:t>
      </w:r>
      <w:r w:rsidRPr="00333D5B">
        <w:rPr>
          <w:rFonts w:ascii="Avenir Next" w:hAnsi="Avenir Next"/>
          <w:sz w:val="24"/>
          <w:szCs w:val="24"/>
        </w:rPr>
        <w:t>s intensidades</w:t>
      </w:r>
      <w:r w:rsidRPr="002667B2">
        <w:rPr>
          <w:rFonts w:ascii="Avenir Next" w:hAnsi="Avenir Next"/>
          <w:sz w:val="24"/>
          <w:szCs w:val="24"/>
        </w:rPr>
        <w:t xml:space="preserve"> de color</w:t>
      </w:r>
      <w:r w:rsidR="00333D5B">
        <w:rPr>
          <w:rFonts w:ascii="Avenir Next" w:hAnsi="Avenir Next"/>
          <w:sz w:val="24"/>
          <w:szCs w:val="24"/>
        </w:rPr>
        <w:t xml:space="preserve"> mencionadas </w:t>
      </w:r>
      <w:r w:rsidRPr="002667B2">
        <w:rPr>
          <w:rFonts w:ascii="Avenir Next" w:hAnsi="Avenir Next"/>
          <w:sz w:val="24"/>
          <w:szCs w:val="24"/>
        </w:rPr>
        <w:t xml:space="preserve">constituyen un 60 % de la obra. A </w:t>
      </w:r>
      <w:r w:rsidRPr="00B130B7">
        <w:rPr>
          <w:rFonts w:ascii="Avenir Next" w:hAnsi="Avenir Next"/>
          <w:sz w:val="24"/>
          <w:szCs w:val="24"/>
        </w:rPr>
        <w:t xml:space="preserve">partir de </w:t>
      </w:r>
      <w:r w:rsidR="00B710D7" w:rsidRPr="00B130B7">
        <w:rPr>
          <w:rFonts w:ascii="Avenir Next" w:hAnsi="Avenir Next"/>
          <w:sz w:val="24"/>
          <w:szCs w:val="24"/>
        </w:rPr>
        <w:t>lo anterior</w:t>
      </w:r>
      <w:r w:rsidRPr="00B130B7">
        <w:rPr>
          <w:rFonts w:ascii="Avenir Next" w:hAnsi="Avenir Next"/>
          <w:sz w:val="24"/>
          <w:szCs w:val="24"/>
        </w:rPr>
        <w:t>,</w:t>
      </w:r>
      <w:r w:rsidRPr="002667B2">
        <w:rPr>
          <w:rFonts w:ascii="Avenir Next" w:hAnsi="Avenir Next"/>
          <w:sz w:val="24"/>
          <w:szCs w:val="24"/>
        </w:rPr>
        <w:t xml:space="preserve"> se identificaron los colores más utilizados por el artista y que podrían formar parte de su paleta pictórica. Los porcentajes restantes para </w:t>
      </w:r>
      <w:r w:rsidRPr="00333D5B">
        <w:rPr>
          <w:rFonts w:ascii="Avenir Next" w:hAnsi="Avenir Next"/>
          <w:sz w:val="24"/>
          <w:szCs w:val="24"/>
        </w:rPr>
        <w:t>ambas obras</w:t>
      </w:r>
      <w:r w:rsidRPr="002667B2">
        <w:rPr>
          <w:rFonts w:ascii="Avenir Next" w:hAnsi="Avenir Next"/>
          <w:sz w:val="24"/>
          <w:szCs w:val="24"/>
        </w:rPr>
        <w:t xml:space="preserve"> son mezclas de pigmentos, algo muy usual en los acuarelistas</w:t>
      </w:r>
      <w:r w:rsidRPr="002667B2">
        <w:rPr>
          <w:rFonts w:ascii="Avenir Next" w:hAnsi="Avenir Next"/>
          <w:b/>
          <w:sz w:val="24"/>
          <w:szCs w:val="24"/>
        </w:rPr>
        <w:t xml:space="preserve"> </w:t>
      </w:r>
      <w:r w:rsidRPr="002667B2">
        <w:rPr>
          <w:rFonts w:ascii="Avenir Next" w:hAnsi="Avenir Next"/>
          <w:sz w:val="24"/>
          <w:szCs w:val="24"/>
        </w:rPr>
        <w:t xml:space="preserve">(Blake, 1997).  </w:t>
      </w:r>
    </w:p>
    <w:p w14:paraId="01703821" w14:textId="77777777" w:rsidR="00144113" w:rsidRPr="002667B2" w:rsidRDefault="00AA5394">
      <w:pPr>
        <w:spacing w:before="200" w:after="200" w:line="240" w:lineRule="auto"/>
        <w:jc w:val="both"/>
        <w:rPr>
          <w:rFonts w:ascii="Avenir Next" w:hAnsi="Avenir Next"/>
          <w:sz w:val="24"/>
          <w:szCs w:val="24"/>
        </w:rPr>
      </w:pPr>
      <w:r w:rsidRPr="002667B2">
        <w:rPr>
          <w:rFonts w:ascii="Avenir Next" w:hAnsi="Avenir Next"/>
          <w:sz w:val="24"/>
          <w:szCs w:val="24"/>
        </w:rPr>
        <w:t xml:space="preserve">El género de ambas </w:t>
      </w:r>
      <w:r w:rsidR="00B710D7" w:rsidRPr="00B130B7">
        <w:rPr>
          <w:rFonts w:ascii="Avenir Next" w:hAnsi="Avenir Next"/>
          <w:sz w:val="24"/>
          <w:szCs w:val="24"/>
        </w:rPr>
        <w:t>acuarelas</w:t>
      </w:r>
      <w:r w:rsidRPr="002667B2">
        <w:rPr>
          <w:rFonts w:ascii="Avenir Next" w:hAnsi="Avenir Next"/>
          <w:sz w:val="24"/>
          <w:szCs w:val="24"/>
        </w:rPr>
        <w:t xml:space="preserve"> corresponde al paisajismo, el cual suele ser muy colorido. De acuerdo con los resultados mencionados, para ambas obras el azul y verde fueron los colores mayoritarios. Ambos colores fríos están </w:t>
      </w:r>
      <w:r w:rsidR="00333D5B">
        <w:rPr>
          <w:rFonts w:ascii="Avenir Next" w:hAnsi="Avenir Next"/>
          <w:sz w:val="24"/>
          <w:szCs w:val="24"/>
        </w:rPr>
        <w:t>de forma habitual</w:t>
      </w:r>
      <w:r w:rsidRPr="002667B2">
        <w:rPr>
          <w:rFonts w:ascii="Avenir Next" w:hAnsi="Avenir Next"/>
          <w:sz w:val="24"/>
          <w:szCs w:val="24"/>
        </w:rPr>
        <w:t xml:space="preserve"> asociados con el agua, </w:t>
      </w:r>
      <w:r w:rsidR="00FD62CE">
        <w:rPr>
          <w:rFonts w:ascii="Avenir Next" w:hAnsi="Avenir Next"/>
          <w:sz w:val="24"/>
          <w:szCs w:val="24"/>
        </w:rPr>
        <w:t xml:space="preserve">el </w:t>
      </w:r>
      <w:r w:rsidRPr="002667B2">
        <w:rPr>
          <w:rFonts w:ascii="Avenir Next" w:hAnsi="Avenir Next"/>
          <w:sz w:val="24"/>
          <w:szCs w:val="24"/>
        </w:rPr>
        <w:t>cielo y</w:t>
      </w:r>
      <w:r w:rsidR="00FD62CE">
        <w:rPr>
          <w:rFonts w:ascii="Avenir Next" w:hAnsi="Avenir Next"/>
          <w:sz w:val="24"/>
          <w:szCs w:val="24"/>
        </w:rPr>
        <w:t xml:space="preserve"> la</w:t>
      </w:r>
      <w:r w:rsidRPr="002667B2">
        <w:rPr>
          <w:rFonts w:ascii="Avenir Next" w:hAnsi="Avenir Next"/>
          <w:sz w:val="24"/>
          <w:szCs w:val="24"/>
        </w:rPr>
        <w:t xml:space="preserve"> vegetación (Arnheim, 1998). En </w:t>
      </w:r>
      <w:r w:rsidR="00333D5B">
        <w:rPr>
          <w:rFonts w:ascii="Avenir Next" w:hAnsi="Avenir Next"/>
          <w:sz w:val="24"/>
          <w:szCs w:val="24"/>
        </w:rPr>
        <w:t>ambos casos</w:t>
      </w:r>
      <w:r w:rsidRPr="002667B2">
        <w:rPr>
          <w:rFonts w:ascii="Avenir Next" w:hAnsi="Avenir Next"/>
          <w:sz w:val="24"/>
          <w:szCs w:val="24"/>
        </w:rPr>
        <w:t xml:space="preserve"> la vegetación juega un papel </w:t>
      </w:r>
      <w:r w:rsidR="00333D5B">
        <w:rPr>
          <w:rFonts w:ascii="Avenir Next" w:hAnsi="Avenir Next"/>
          <w:sz w:val="24"/>
          <w:szCs w:val="24"/>
        </w:rPr>
        <w:t>fundamental</w:t>
      </w:r>
      <w:r w:rsidRPr="002667B2">
        <w:rPr>
          <w:rFonts w:ascii="Avenir Next" w:hAnsi="Avenir Next"/>
          <w:sz w:val="24"/>
          <w:szCs w:val="24"/>
        </w:rPr>
        <w:t xml:space="preserve">, en </w:t>
      </w:r>
      <w:r w:rsidRPr="002667B2">
        <w:rPr>
          <w:rFonts w:ascii="Avenir Next" w:hAnsi="Avenir Next"/>
          <w:i/>
          <w:sz w:val="24"/>
          <w:szCs w:val="24"/>
        </w:rPr>
        <w:t>Paisaje con casa campesina</w:t>
      </w:r>
      <w:r w:rsidRPr="002667B2">
        <w:rPr>
          <w:rFonts w:ascii="Avenir Next" w:hAnsi="Avenir Next"/>
          <w:sz w:val="24"/>
          <w:szCs w:val="24"/>
        </w:rPr>
        <w:t xml:space="preserve"> forma parte del primer plano de profundidad con mucha sombra. Es posible identificar en </w:t>
      </w:r>
      <w:r w:rsidRPr="00B130B7">
        <w:rPr>
          <w:rFonts w:ascii="Avenir Next" w:hAnsi="Avenir Next"/>
          <w:sz w:val="24"/>
          <w:szCs w:val="24"/>
        </w:rPr>
        <w:t>ambas</w:t>
      </w:r>
      <w:r w:rsidRPr="002667B2">
        <w:rPr>
          <w:rFonts w:ascii="Avenir Next" w:hAnsi="Avenir Next"/>
          <w:sz w:val="24"/>
          <w:szCs w:val="24"/>
        </w:rPr>
        <w:t xml:space="preserve"> una riqueza en el manejo de color. </w:t>
      </w:r>
    </w:p>
    <w:p w14:paraId="49260329" w14:textId="454A6527" w:rsidR="00144113" w:rsidRPr="002667B2" w:rsidRDefault="00AA5394">
      <w:pPr>
        <w:spacing w:after="200" w:line="240" w:lineRule="auto"/>
        <w:jc w:val="both"/>
        <w:rPr>
          <w:rFonts w:ascii="Avenir Next" w:hAnsi="Avenir Next"/>
          <w:b/>
          <w:sz w:val="24"/>
          <w:szCs w:val="24"/>
        </w:rPr>
      </w:pPr>
      <w:r w:rsidRPr="002667B2">
        <w:rPr>
          <w:rFonts w:ascii="Avenir Next" w:hAnsi="Avenir Next"/>
          <w:sz w:val="24"/>
          <w:szCs w:val="24"/>
        </w:rPr>
        <w:t xml:space="preserve">Con la información recopilada de la herramienta computacional </w:t>
      </w:r>
      <w:r w:rsidRPr="00805305">
        <w:rPr>
          <w:rFonts w:ascii="Avenir Next" w:hAnsi="Avenir Next"/>
          <w:iCs/>
          <w:sz w:val="24"/>
          <w:szCs w:val="24"/>
        </w:rPr>
        <w:t>RegionsOfInterest</w:t>
      </w:r>
      <w:r w:rsidRPr="002667B2">
        <w:rPr>
          <w:rFonts w:ascii="Avenir Next" w:hAnsi="Avenir Next"/>
          <w:i/>
          <w:sz w:val="24"/>
          <w:szCs w:val="24"/>
        </w:rPr>
        <w:t xml:space="preserve">, </w:t>
      </w:r>
      <w:r w:rsidRPr="002667B2">
        <w:rPr>
          <w:rFonts w:ascii="Avenir Next" w:hAnsi="Avenir Next"/>
          <w:sz w:val="24"/>
          <w:szCs w:val="24"/>
        </w:rPr>
        <w:t xml:space="preserve">se procedió a reconocer los posibles pigmentos asociados a los colores determinados con la herramienta computacional de libre acceso </w:t>
      </w:r>
      <w:r w:rsidRPr="00805305">
        <w:rPr>
          <w:rFonts w:ascii="Avenir Next" w:hAnsi="Avenir Next"/>
          <w:iCs/>
          <w:sz w:val="24"/>
          <w:szCs w:val="24"/>
        </w:rPr>
        <w:t>Golden Artists Colors.</w:t>
      </w:r>
      <w:r w:rsidRPr="002667B2">
        <w:rPr>
          <w:rFonts w:ascii="Avenir Next" w:hAnsi="Avenir Next"/>
          <w:sz w:val="24"/>
          <w:szCs w:val="24"/>
        </w:rPr>
        <w:t xml:space="preserve"> Los pigmentos identificados con las herramientas computacionales mencionadas se encuentran disponibles en las dos marcas de acuarela que el artista pudo haber utilizado. </w:t>
      </w:r>
      <w:r w:rsidR="00333D5B" w:rsidRPr="00333D5B">
        <w:rPr>
          <w:rFonts w:ascii="Avenir Next" w:hAnsi="Avenir Next"/>
          <w:sz w:val="24"/>
          <w:szCs w:val="24"/>
        </w:rPr>
        <w:t>Los</w:t>
      </w:r>
      <w:r w:rsidRPr="00333D5B">
        <w:rPr>
          <w:rFonts w:ascii="Avenir Next" w:hAnsi="Avenir Next"/>
          <w:sz w:val="24"/>
          <w:szCs w:val="24"/>
        </w:rPr>
        <w:t xml:space="preserve"> pigmentos</w:t>
      </w:r>
      <w:r w:rsidRPr="002667B2">
        <w:rPr>
          <w:rFonts w:ascii="Avenir Next" w:hAnsi="Avenir Next"/>
          <w:sz w:val="24"/>
          <w:szCs w:val="24"/>
        </w:rPr>
        <w:t xml:space="preserve"> se podrán verificar por medio de análisis con </w:t>
      </w:r>
      <w:r w:rsidR="005D7AD3">
        <w:rPr>
          <w:rFonts w:ascii="Avenir Next" w:hAnsi="Avenir Next"/>
          <w:sz w:val="24"/>
          <w:szCs w:val="24"/>
        </w:rPr>
        <w:t>XRF</w:t>
      </w:r>
      <w:r w:rsidRPr="002667B2">
        <w:rPr>
          <w:rFonts w:ascii="Avenir Next" w:hAnsi="Avenir Next"/>
          <w:sz w:val="24"/>
          <w:szCs w:val="24"/>
        </w:rPr>
        <w:t xml:space="preserve"> que se encuentran en proceso.</w:t>
      </w:r>
    </w:p>
    <w:p w14:paraId="52540613"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t>Microorganismos</w:t>
      </w:r>
    </w:p>
    <w:p w14:paraId="7C79E575" w14:textId="77777777" w:rsidR="00144113" w:rsidRPr="002667B2" w:rsidRDefault="00AA5394">
      <w:pPr>
        <w:spacing w:after="200" w:line="240" w:lineRule="auto"/>
        <w:jc w:val="both"/>
        <w:rPr>
          <w:rFonts w:ascii="Avenir Next" w:hAnsi="Avenir Next"/>
          <w:sz w:val="24"/>
          <w:szCs w:val="24"/>
        </w:rPr>
      </w:pPr>
      <w:r w:rsidRPr="00B130B7">
        <w:rPr>
          <w:rFonts w:ascii="Avenir Next" w:hAnsi="Avenir Next"/>
          <w:sz w:val="24"/>
          <w:szCs w:val="24"/>
        </w:rPr>
        <w:t>Las obras pictóricas</w:t>
      </w:r>
      <w:r w:rsidRPr="002667B2">
        <w:rPr>
          <w:rFonts w:ascii="Avenir Next" w:hAnsi="Avenir Next"/>
          <w:sz w:val="24"/>
          <w:szCs w:val="24"/>
        </w:rPr>
        <w:t xml:space="preserve"> se encuentran interaccionando con las personas y el medio ambiente en general, por consiguiente, la comunidad microbiológica presente en</w:t>
      </w:r>
      <w:r w:rsidR="003F362E">
        <w:rPr>
          <w:rFonts w:ascii="Avenir Next" w:hAnsi="Avenir Next"/>
          <w:sz w:val="24"/>
          <w:szCs w:val="24"/>
        </w:rPr>
        <w:t xml:space="preserve"> los </w:t>
      </w:r>
      <w:r w:rsidRPr="003F362E">
        <w:rPr>
          <w:rFonts w:ascii="Avenir Next" w:hAnsi="Avenir Next"/>
          <w:sz w:val="24"/>
          <w:szCs w:val="24"/>
        </w:rPr>
        <w:t>ambientes</w:t>
      </w:r>
      <w:r w:rsidRPr="002667B2">
        <w:rPr>
          <w:rFonts w:ascii="Avenir Next" w:hAnsi="Avenir Next"/>
          <w:sz w:val="24"/>
          <w:szCs w:val="24"/>
        </w:rPr>
        <w:t xml:space="preserve"> juega un papel esencial en la conservación del patrimonio cultural (Sterflinger, 2010; Zhgun et al., 2020). Algunos microorganismos pueden alterar de diversas formas los materiales pictóricos, pertenecientes al soporte, capa pictórica o barnices protectores. El conocimiento </w:t>
      </w:r>
      <w:r w:rsidRPr="009D6FCE">
        <w:rPr>
          <w:rFonts w:ascii="Avenir Next" w:hAnsi="Avenir Next"/>
          <w:sz w:val="24"/>
          <w:szCs w:val="24"/>
        </w:rPr>
        <w:t xml:space="preserve">de </w:t>
      </w:r>
      <w:r w:rsidR="009D6FCE" w:rsidRPr="009D6FCE">
        <w:rPr>
          <w:rFonts w:ascii="Avenir Next" w:hAnsi="Avenir Next"/>
          <w:sz w:val="24"/>
          <w:szCs w:val="24"/>
        </w:rPr>
        <w:t>dicha</w:t>
      </w:r>
      <w:r w:rsidRPr="009D6FCE">
        <w:rPr>
          <w:rFonts w:ascii="Avenir Next" w:hAnsi="Avenir Next"/>
          <w:sz w:val="24"/>
          <w:szCs w:val="24"/>
        </w:rPr>
        <w:t xml:space="preserve"> información</w:t>
      </w:r>
      <w:r w:rsidRPr="002667B2">
        <w:rPr>
          <w:rFonts w:ascii="Avenir Next" w:hAnsi="Avenir Next"/>
          <w:sz w:val="24"/>
          <w:szCs w:val="24"/>
        </w:rPr>
        <w:t xml:space="preserve"> </w:t>
      </w:r>
      <w:r w:rsidRPr="009D6FCE">
        <w:rPr>
          <w:rFonts w:ascii="Avenir Next" w:hAnsi="Avenir Next"/>
          <w:sz w:val="24"/>
          <w:szCs w:val="24"/>
        </w:rPr>
        <w:t xml:space="preserve">es </w:t>
      </w:r>
      <w:r w:rsidRPr="009D6FCE">
        <w:rPr>
          <w:rFonts w:ascii="Avenir Next" w:hAnsi="Avenir Next"/>
          <w:sz w:val="24"/>
          <w:szCs w:val="24"/>
        </w:rPr>
        <w:lastRenderedPageBreak/>
        <w:t xml:space="preserve">importante </w:t>
      </w:r>
      <w:r w:rsidRPr="00B130B7">
        <w:rPr>
          <w:rFonts w:ascii="Avenir Next" w:hAnsi="Avenir Next"/>
          <w:sz w:val="24"/>
          <w:szCs w:val="24"/>
        </w:rPr>
        <w:t xml:space="preserve">para </w:t>
      </w:r>
      <w:r w:rsidR="00B710D7" w:rsidRPr="00B130B7">
        <w:rPr>
          <w:rFonts w:ascii="Avenir Next" w:hAnsi="Avenir Next"/>
          <w:sz w:val="24"/>
          <w:szCs w:val="24"/>
        </w:rPr>
        <w:t>su</w:t>
      </w:r>
      <w:r w:rsidRPr="00B130B7">
        <w:rPr>
          <w:rFonts w:ascii="Avenir Next" w:hAnsi="Avenir Next"/>
          <w:sz w:val="24"/>
          <w:szCs w:val="24"/>
        </w:rPr>
        <w:t xml:space="preserve"> correcta conservación,</w:t>
      </w:r>
      <w:r w:rsidRPr="002667B2">
        <w:rPr>
          <w:rFonts w:ascii="Avenir Next" w:hAnsi="Avenir Next"/>
          <w:sz w:val="24"/>
          <w:szCs w:val="24"/>
        </w:rPr>
        <w:t xml:space="preserve"> así como para elegir los métodos de restauración más adecuados (Poyatos-Jiménez </w:t>
      </w:r>
      <w:r w:rsidRPr="002667B2">
        <w:rPr>
          <w:rFonts w:ascii="Avenir Next" w:hAnsi="Avenir Next"/>
          <w:iCs/>
          <w:sz w:val="24"/>
          <w:szCs w:val="24"/>
        </w:rPr>
        <w:t>et al.,</w:t>
      </w:r>
      <w:r w:rsidRPr="002667B2">
        <w:rPr>
          <w:rFonts w:ascii="Avenir Next" w:hAnsi="Avenir Next"/>
          <w:sz w:val="24"/>
          <w:szCs w:val="24"/>
        </w:rPr>
        <w:t xml:space="preserve"> 2021; Vieto </w:t>
      </w:r>
      <w:r w:rsidRPr="002667B2">
        <w:rPr>
          <w:rFonts w:ascii="Avenir Next" w:hAnsi="Avenir Next"/>
          <w:iCs/>
          <w:sz w:val="24"/>
          <w:szCs w:val="24"/>
        </w:rPr>
        <w:t>et al.,</w:t>
      </w:r>
      <w:r w:rsidRPr="002667B2">
        <w:rPr>
          <w:rFonts w:ascii="Avenir Next" w:hAnsi="Avenir Next"/>
          <w:sz w:val="24"/>
          <w:szCs w:val="24"/>
        </w:rPr>
        <w:t xml:space="preserve"> 2021). </w:t>
      </w:r>
    </w:p>
    <w:p w14:paraId="6B64C28C" w14:textId="7215E7B0" w:rsidR="00144113" w:rsidRPr="002667B2" w:rsidRDefault="009D6FCE">
      <w:pPr>
        <w:spacing w:after="200" w:line="240" w:lineRule="auto"/>
        <w:jc w:val="both"/>
        <w:rPr>
          <w:rFonts w:ascii="Avenir Next" w:hAnsi="Avenir Next"/>
          <w:sz w:val="24"/>
          <w:szCs w:val="24"/>
        </w:rPr>
      </w:pPr>
      <w:r>
        <w:rPr>
          <w:rFonts w:ascii="Avenir Next" w:hAnsi="Avenir Next"/>
          <w:sz w:val="24"/>
          <w:szCs w:val="24"/>
        </w:rPr>
        <w:t xml:space="preserve">Tanto en </w:t>
      </w:r>
      <w:r w:rsidRPr="009D6FCE">
        <w:rPr>
          <w:rFonts w:ascii="Avenir Next" w:hAnsi="Avenir Next"/>
          <w:i/>
          <w:iCs/>
          <w:sz w:val="24"/>
          <w:szCs w:val="24"/>
        </w:rPr>
        <w:t xml:space="preserve">Paisaje con casa campesina </w:t>
      </w:r>
      <w:r>
        <w:rPr>
          <w:rFonts w:ascii="Avenir Next" w:hAnsi="Avenir Next"/>
          <w:sz w:val="24"/>
          <w:szCs w:val="24"/>
        </w:rPr>
        <w:t>como</w:t>
      </w:r>
      <w:r w:rsidR="00B710D7">
        <w:rPr>
          <w:rFonts w:ascii="Avenir Next" w:hAnsi="Avenir Next"/>
          <w:sz w:val="24"/>
          <w:szCs w:val="24"/>
        </w:rPr>
        <w:t xml:space="preserve"> </w:t>
      </w:r>
      <w:r w:rsidR="00B710D7" w:rsidRPr="00B130B7">
        <w:rPr>
          <w:rFonts w:ascii="Avenir Next" w:hAnsi="Avenir Next"/>
          <w:sz w:val="24"/>
          <w:szCs w:val="24"/>
        </w:rPr>
        <w:t>en</w:t>
      </w:r>
      <w:r>
        <w:rPr>
          <w:rFonts w:ascii="Avenir Next" w:hAnsi="Avenir Next"/>
          <w:sz w:val="24"/>
          <w:szCs w:val="24"/>
        </w:rPr>
        <w:t xml:space="preserve"> </w:t>
      </w:r>
      <w:r w:rsidRPr="009D6FCE">
        <w:rPr>
          <w:rFonts w:ascii="Avenir Next" w:hAnsi="Avenir Next"/>
          <w:i/>
          <w:iCs/>
          <w:sz w:val="24"/>
          <w:szCs w:val="24"/>
        </w:rPr>
        <w:t>El puente</w:t>
      </w:r>
      <w:r>
        <w:rPr>
          <w:rFonts w:ascii="Avenir Next" w:hAnsi="Avenir Next"/>
          <w:sz w:val="24"/>
          <w:szCs w:val="24"/>
        </w:rPr>
        <w:t>,</w:t>
      </w:r>
      <w:r w:rsidR="00AA5394" w:rsidRPr="002667B2">
        <w:rPr>
          <w:rFonts w:ascii="Avenir Next" w:hAnsi="Avenir Next"/>
          <w:sz w:val="24"/>
          <w:szCs w:val="24"/>
        </w:rPr>
        <w:t xml:space="preserve"> se identificaron manchas oscuras y otros patrones que podrían estar asociados con crecimiento microbiano (ver figura 5). </w:t>
      </w:r>
      <w:r w:rsidR="00AA5394" w:rsidRPr="00B130B7">
        <w:rPr>
          <w:rFonts w:ascii="Avenir Next" w:hAnsi="Avenir Next"/>
          <w:sz w:val="24"/>
          <w:szCs w:val="24"/>
        </w:rPr>
        <w:t xml:space="preserve">Es importante mencionar que los microorganismos </w:t>
      </w:r>
      <w:r w:rsidR="00FF61CA" w:rsidRPr="00B130B7">
        <w:rPr>
          <w:rFonts w:ascii="Avenir Next" w:hAnsi="Avenir Next"/>
          <w:sz w:val="24"/>
          <w:szCs w:val="24"/>
        </w:rPr>
        <w:t xml:space="preserve">aislados </w:t>
      </w:r>
      <w:r w:rsidR="00AA5394" w:rsidRPr="00B130B7">
        <w:rPr>
          <w:rFonts w:ascii="Avenir Next" w:hAnsi="Avenir Next"/>
          <w:sz w:val="24"/>
          <w:szCs w:val="24"/>
        </w:rPr>
        <w:t>corresponde</w:t>
      </w:r>
      <w:r w:rsidR="00FF61CA" w:rsidRPr="00B130B7">
        <w:rPr>
          <w:rFonts w:ascii="Avenir Next" w:hAnsi="Avenir Next"/>
          <w:sz w:val="24"/>
          <w:szCs w:val="24"/>
        </w:rPr>
        <w:t>n</w:t>
      </w:r>
      <w:r w:rsidR="00AA5394" w:rsidRPr="00B130B7">
        <w:rPr>
          <w:rFonts w:ascii="Avenir Next" w:hAnsi="Avenir Next"/>
          <w:sz w:val="24"/>
          <w:szCs w:val="24"/>
        </w:rPr>
        <w:t xml:space="preserve"> </w:t>
      </w:r>
      <w:r w:rsidR="00FF61CA" w:rsidRPr="00B130B7">
        <w:rPr>
          <w:rFonts w:ascii="Avenir Next" w:hAnsi="Avenir Next"/>
          <w:sz w:val="24"/>
          <w:szCs w:val="24"/>
        </w:rPr>
        <w:t>al</w:t>
      </w:r>
      <w:r w:rsidR="00AA5394" w:rsidRPr="00B130B7">
        <w:rPr>
          <w:rFonts w:ascii="Avenir Next" w:hAnsi="Avenir Next"/>
          <w:sz w:val="24"/>
          <w:szCs w:val="24"/>
        </w:rPr>
        <w:t xml:space="preserve"> momento</w:t>
      </w:r>
      <w:r w:rsidR="003F6FAE">
        <w:rPr>
          <w:rFonts w:ascii="Avenir Next" w:hAnsi="Avenir Next"/>
          <w:sz w:val="24"/>
          <w:szCs w:val="24"/>
        </w:rPr>
        <w:t xml:space="preserve"> temporal</w:t>
      </w:r>
      <w:r w:rsidR="00AA5394" w:rsidRPr="00B130B7">
        <w:rPr>
          <w:rFonts w:ascii="Avenir Next" w:hAnsi="Avenir Next"/>
          <w:sz w:val="24"/>
          <w:szCs w:val="24"/>
        </w:rPr>
        <w:t xml:space="preserve"> de </w:t>
      </w:r>
      <w:r w:rsidR="00FF61CA" w:rsidRPr="00B130B7">
        <w:rPr>
          <w:rFonts w:ascii="Avenir Next" w:hAnsi="Avenir Next"/>
          <w:sz w:val="24"/>
          <w:szCs w:val="24"/>
        </w:rPr>
        <w:t>realizada</w:t>
      </w:r>
      <w:r w:rsidR="00AA5394" w:rsidRPr="00B130B7">
        <w:rPr>
          <w:rFonts w:ascii="Avenir Next" w:hAnsi="Avenir Next"/>
          <w:sz w:val="24"/>
          <w:szCs w:val="24"/>
        </w:rPr>
        <w:t xml:space="preserve"> la toma de muestra</w:t>
      </w:r>
      <w:r w:rsidR="003F6FAE">
        <w:rPr>
          <w:rFonts w:ascii="Avenir Next" w:hAnsi="Avenir Next"/>
          <w:sz w:val="24"/>
          <w:szCs w:val="24"/>
        </w:rPr>
        <w:t xml:space="preserve">. Por lo tanto, </w:t>
      </w:r>
      <w:r w:rsidR="00FF61CA" w:rsidRPr="00B130B7">
        <w:rPr>
          <w:rFonts w:ascii="Avenir Next" w:hAnsi="Avenir Next"/>
          <w:sz w:val="24"/>
          <w:szCs w:val="24"/>
        </w:rPr>
        <w:t>n</w:t>
      </w:r>
      <w:r w:rsidR="00AA5394" w:rsidRPr="00B130B7">
        <w:rPr>
          <w:rFonts w:ascii="Avenir Next" w:hAnsi="Avenir Next"/>
          <w:sz w:val="24"/>
          <w:szCs w:val="24"/>
        </w:rPr>
        <w:t>o se tiene conocimiento sistemático de</w:t>
      </w:r>
      <w:r w:rsidR="00FF61CA" w:rsidRPr="00B130B7">
        <w:rPr>
          <w:rFonts w:ascii="Avenir Next" w:hAnsi="Avenir Next"/>
          <w:sz w:val="24"/>
          <w:szCs w:val="24"/>
        </w:rPr>
        <w:t xml:space="preserve"> su</w:t>
      </w:r>
      <w:r w:rsidR="00AA5394" w:rsidRPr="00B130B7">
        <w:rPr>
          <w:rFonts w:ascii="Avenir Next" w:hAnsi="Avenir Next"/>
          <w:sz w:val="24"/>
          <w:szCs w:val="24"/>
        </w:rPr>
        <w:t xml:space="preserve"> comportamiento o evolución </w:t>
      </w:r>
      <w:r w:rsidR="00FF61CA" w:rsidRPr="00B130B7">
        <w:rPr>
          <w:rFonts w:ascii="Avenir Next" w:hAnsi="Avenir Next"/>
          <w:sz w:val="24"/>
          <w:szCs w:val="24"/>
        </w:rPr>
        <w:t>a lo largo</w:t>
      </w:r>
      <w:r w:rsidR="00AA5394" w:rsidRPr="00B130B7">
        <w:rPr>
          <w:rFonts w:ascii="Avenir Next" w:hAnsi="Avenir Next"/>
          <w:sz w:val="24"/>
          <w:szCs w:val="24"/>
        </w:rPr>
        <w:t xml:space="preserve"> </w:t>
      </w:r>
      <w:r w:rsidR="001854E8">
        <w:rPr>
          <w:rFonts w:ascii="Avenir Next" w:hAnsi="Avenir Next"/>
          <w:sz w:val="24"/>
          <w:szCs w:val="24"/>
        </w:rPr>
        <w:t xml:space="preserve">del </w:t>
      </w:r>
      <w:r w:rsidR="00AA5394" w:rsidRPr="00B130B7">
        <w:rPr>
          <w:rFonts w:ascii="Avenir Next" w:hAnsi="Avenir Next"/>
          <w:sz w:val="24"/>
          <w:szCs w:val="24"/>
        </w:rPr>
        <w:t>tiempo, así como de los nutrientes que podrían estar disponibles en las acuarelas estudiadas.</w:t>
      </w:r>
    </w:p>
    <w:p w14:paraId="1B1907A6" w14:textId="70DCE87F" w:rsidR="00835207" w:rsidRPr="00835207" w:rsidRDefault="00AA5394" w:rsidP="00835207">
      <w:pPr>
        <w:spacing w:after="200" w:line="240" w:lineRule="auto"/>
        <w:jc w:val="both"/>
        <w:rPr>
          <w:rFonts w:ascii="Avenir Next" w:hAnsi="Avenir Next"/>
          <w:color w:val="1A1A1A"/>
          <w:sz w:val="24"/>
          <w:szCs w:val="24"/>
        </w:rPr>
      </w:pPr>
      <w:r w:rsidRPr="002667B2">
        <w:rPr>
          <w:rFonts w:ascii="Avenir Next" w:hAnsi="Avenir Next"/>
          <w:sz w:val="24"/>
          <w:szCs w:val="24"/>
        </w:rPr>
        <w:t xml:space="preserve">Se aislaron un total de nueve microorganismos (ver figura 6): cuatro del anverso (ver figura 6A) de la obra </w:t>
      </w:r>
      <w:r w:rsidRPr="002667B2">
        <w:rPr>
          <w:rFonts w:ascii="Avenir Next" w:hAnsi="Avenir Next"/>
          <w:i/>
          <w:sz w:val="24"/>
          <w:szCs w:val="24"/>
        </w:rPr>
        <w:t>Paisaje con casa campesina</w:t>
      </w:r>
      <w:r w:rsidRPr="002667B2">
        <w:rPr>
          <w:rFonts w:ascii="Avenir Next" w:hAnsi="Avenir Next"/>
          <w:sz w:val="24"/>
          <w:szCs w:val="24"/>
        </w:rPr>
        <w:t xml:space="preserve">, tres del anverso (ver figura 6C) y dos del reverso (ver figura 6D) de </w:t>
      </w:r>
      <w:r w:rsidRPr="002667B2">
        <w:rPr>
          <w:rFonts w:ascii="Avenir Next" w:hAnsi="Avenir Next"/>
          <w:i/>
          <w:sz w:val="24"/>
          <w:szCs w:val="24"/>
        </w:rPr>
        <w:t>El puente</w:t>
      </w:r>
      <w:r w:rsidRPr="002667B2">
        <w:rPr>
          <w:rFonts w:ascii="Avenir Next" w:hAnsi="Avenir Next"/>
          <w:sz w:val="24"/>
          <w:szCs w:val="24"/>
        </w:rPr>
        <w:t xml:space="preserve">. No obstante, cabe mencionar que las zonas de interés muestreadas corresponden a un número mayor (12 zonas en </w:t>
      </w:r>
      <w:r w:rsidRPr="002667B2">
        <w:rPr>
          <w:rFonts w:ascii="Avenir Next" w:hAnsi="Avenir Next"/>
          <w:i/>
          <w:sz w:val="24"/>
          <w:szCs w:val="24"/>
        </w:rPr>
        <w:t>Paisaje con casa campesina</w:t>
      </w:r>
      <w:r w:rsidRPr="002667B2">
        <w:rPr>
          <w:rFonts w:ascii="Avenir Next" w:hAnsi="Avenir Next"/>
          <w:sz w:val="24"/>
          <w:szCs w:val="24"/>
        </w:rPr>
        <w:t xml:space="preserve"> y siete zonas en </w:t>
      </w:r>
      <w:r w:rsidRPr="002667B2">
        <w:rPr>
          <w:rFonts w:ascii="Avenir Next" w:hAnsi="Avenir Next"/>
          <w:i/>
          <w:sz w:val="24"/>
          <w:szCs w:val="24"/>
        </w:rPr>
        <w:t>El puente</w:t>
      </w:r>
      <w:r w:rsidRPr="002667B2">
        <w:rPr>
          <w:rFonts w:ascii="Avenir Next" w:hAnsi="Avenir Next"/>
          <w:sz w:val="24"/>
          <w:szCs w:val="24"/>
        </w:rPr>
        <w:t>) en cada acuarela. Sin embargo,</w:t>
      </w:r>
      <w:r w:rsidR="009D6FCE">
        <w:rPr>
          <w:rFonts w:ascii="Avenir Next" w:hAnsi="Avenir Next"/>
          <w:sz w:val="24"/>
          <w:szCs w:val="24"/>
        </w:rPr>
        <w:t xml:space="preserve"> </w:t>
      </w:r>
      <w:r w:rsidRPr="002667B2">
        <w:rPr>
          <w:rFonts w:ascii="Avenir Next" w:hAnsi="Avenir Next"/>
          <w:sz w:val="24"/>
          <w:szCs w:val="24"/>
        </w:rPr>
        <w:t xml:space="preserve">se aislaron microorganismos de siete zonas en total. En la obra </w:t>
      </w:r>
      <w:r w:rsidRPr="002667B2">
        <w:rPr>
          <w:rFonts w:ascii="Avenir Next" w:hAnsi="Avenir Next"/>
          <w:i/>
          <w:sz w:val="24"/>
          <w:szCs w:val="24"/>
        </w:rPr>
        <w:t>Paisaje con casa campesina</w:t>
      </w:r>
      <w:r w:rsidRPr="002667B2">
        <w:rPr>
          <w:rFonts w:ascii="Avenir Next" w:hAnsi="Avenir Next"/>
          <w:sz w:val="24"/>
          <w:szCs w:val="24"/>
        </w:rPr>
        <w:t xml:space="preserve"> se aisló la bacteria </w:t>
      </w:r>
      <w:r w:rsidRPr="002667B2">
        <w:rPr>
          <w:rFonts w:ascii="Avenir Next" w:hAnsi="Avenir Next"/>
          <w:i/>
          <w:sz w:val="24"/>
          <w:szCs w:val="24"/>
        </w:rPr>
        <w:t xml:space="preserve">Dermacoccus nishinomiyaensis </w:t>
      </w:r>
      <w:r w:rsidRPr="003F6FAE">
        <w:rPr>
          <w:rFonts w:ascii="Avenir Next" w:hAnsi="Avenir Next"/>
          <w:sz w:val="24"/>
          <w:szCs w:val="24"/>
        </w:rPr>
        <w:t xml:space="preserve">y </w:t>
      </w:r>
      <w:r w:rsidRPr="003F6FAE">
        <w:rPr>
          <w:rFonts w:ascii="Avenir Next" w:hAnsi="Avenir Next"/>
          <w:color w:val="1A1A1A"/>
          <w:sz w:val="24"/>
          <w:szCs w:val="24"/>
        </w:rPr>
        <w:t>tres hongos</w:t>
      </w:r>
      <w:r w:rsidR="00FF61CA" w:rsidRPr="003F6FAE">
        <w:rPr>
          <w:rFonts w:ascii="Avenir Next" w:hAnsi="Avenir Next"/>
          <w:color w:val="1A1A1A"/>
          <w:sz w:val="24"/>
          <w:szCs w:val="24"/>
        </w:rPr>
        <w:t>:</w:t>
      </w:r>
      <w:r w:rsidR="00881C2D" w:rsidRPr="003F6FAE">
        <w:rPr>
          <w:rFonts w:ascii="Avenir Next" w:hAnsi="Avenir Next"/>
          <w:color w:val="1A1A1A"/>
          <w:sz w:val="24"/>
          <w:szCs w:val="24"/>
        </w:rPr>
        <w:t xml:space="preserve"> </w:t>
      </w:r>
      <w:r w:rsidR="00881C2D" w:rsidRPr="003F6FAE">
        <w:rPr>
          <w:rFonts w:ascii="Avenir Next" w:hAnsi="Avenir Next"/>
          <w:i/>
          <w:iCs/>
          <w:color w:val="1A1A1A"/>
          <w:sz w:val="24"/>
          <w:szCs w:val="24"/>
        </w:rPr>
        <w:t>Diaporthe</w:t>
      </w:r>
      <w:r w:rsidR="00881C2D" w:rsidRPr="003F6FAE">
        <w:rPr>
          <w:rFonts w:ascii="Avenir Next" w:hAnsi="Avenir Next"/>
          <w:color w:val="1A1A1A"/>
          <w:sz w:val="24"/>
          <w:szCs w:val="24"/>
        </w:rPr>
        <w:t xml:space="preserve"> sp. y dos</w:t>
      </w:r>
      <w:r w:rsidRPr="003F6FAE">
        <w:rPr>
          <w:rFonts w:ascii="Avenir Next" w:hAnsi="Avenir Next"/>
          <w:color w:val="1A1A1A"/>
          <w:sz w:val="24"/>
          <w:szCs w:val="24"/>
        </w:rPr>
        <w:t xml:space="preserve"> filamentosos septados no esporulados </w:t>
      </w:r>
      <w:r w:rsidRPr="003F6FAE">
        <w:rPr>
          <w:rFonts w:ascii="Avenir Next" w:hAnsi="Avenir Next"/>
          <w:sz w:val="24"/>
          <w:szCs w:val="24"/>
        </w:rPr>
        <w:t>(ver figura 6A.1 y figura 6A.2)</w:t>
      </w:r>
      <w:r w:rsidRPr="003F6FAE">
        <w:rPr>
          <w:rFonts w:ascii="Avenir Next" w:hAnsi="Avenir Next"/>
          <w:color w:val="1A1A1A"/>
          <w:sz w:val="24"/>
          <w:szCs w:val="24"/>
        </w:rPr>
        <w:t>.</w:t>
      </w:r>
      <w:r w:rsidRPr="003F6FAE">
        <w:rPr>
          <w:rFonts w:ascii="Avenir Next" w:hAnsi="Avenir Next"/>
          <w:sz w:val="24"/>
          <w:szCs w:val="24"/>
        </w:rPr>
        <w:t xml:space="preserve"> En la obra </w:t>
      </w:r>
      <w:r w:rsidRPr="003F6FAE">
        <w:rPr>
          <w:rFonts w:ascii="Avenir Next" w:hAnsi="Avenir Next"/>
          <w:i/>
          <w:sz w:val="24"/>
          <w:szCs w:val="24"/>
        </w:rPr>
        <w:t>El puente</w:t>
      </w:r>
      <w:r w:rsidRPr="003F6FAE">
        <w:rPr>
          <w:rFonts w:ascii="Avenir Next" w:hAnsi="Avenir Next"/>
          <w:sz w:val="24"/>
          <w:szCs w:val="24"/>
        </w:rPr>
        <w:t xml:space="preserve"> se identificó la bacteria </w:t>
      </w:r>
      <w:r w:rsidRPr="003F6FAE">
        <w:rPr>
          <w:rFonts w:ascii="Avenir Next" w:hAnsi="Avenir Next"/>
          <w:i/>
          <w:sz w:val="24"/>
          <w:szCs w:val="24"/>
        </w:rPr>
        <w:t xml:space="preserve">Bacillus cereus </w:t>
      </w:r>
      <w:r w:rsidRPr="003F6FAE">
        <w:rPr>
          <w:rFonts w:ascii="Avenir Next" w:hAnsi="Avenir Next"/>
          <w:sz w:val="24"/>
          <w:szCs w:val="24"/>
        </w:rPr>
        <w:t>(ver figura 6C.1)</w:t>
      </w:r>
      <w:r w:rsidRPr="003F6FAE">
        <w:rPr>
          <w:rFonts w:ascii="Avenir Next" w:hAnsi="Avenir Next"/>
          <w:i/>
          <w:sz w:val="24"/>
          <w:szCs w:val="24"/>
        </w:rPr>
        <w:t xml:space="preserve"> </w:t>
      </w:r>
      <w:r w:rsidRPr="003F6FAE">
        <w:rPr>
          <w:rFonts w:ascii="Avenir Next" w:hAnsi="Avenir Next"/>
          <w:sz w:val="24"/>
          <w:szCs w:val="24"/>
        </w:rPr>
        <w:t xml:space="preserve">y los siguientes hongos: dos </w:t>
      </w:r>
      <w:r w:rsidRPr="003F6FAE">
        <w:rPr>
          <w:rFonts w:ascii="Avenir Next" w:hAnsi="Avenir Next"/>
          <w:i/>
          <w:sz w:val="24"/>
          <w:szCs w:val="24"/>
        </w:rPr>
        <w:t xml:space="preserve">Aspergillus </w:t>
      </w:r>
      <w:r w:rsidRPr="003F6FAE">
        <w:rPr>
          <w:rFonts w:ascii="Avenir Next" w:hAnsi="Avenir Next"/>
          <w:sz w:val="24"/>
          <w:szCs w:val="24"/>
        </w:rPr>
        <w:t>sección</w:t>
      </w:r>
      <w:r w:rsidRPr="003F6FAE">
        <w:rPr>
          <w:rFonts w:ascii="Avenir Next" w:hAnsi="Avenir Next"/>
          <w:i/>
          <w:sz w:val="24"/>
          <w:szCs w:val="24"/>
        </w:rPr>
        <w:t xml:space="preserve"> </w:t>
      </w:r>
      <w:r w:rsidR="00881C2D" w:rsidRPr="003F6FAE">
        <w:rPr>
          <w:rFonts w:ascii="Avenir Next" w:hAnsi="Avenir Next"/>
          <w:i/>
          <w:sz w:val="24"/>
          <w:szCs w:val="24"/>
        </w:rPr>
        <w:t>V</w:t>
      </w:r>
      <w:r w:rsidRPr="003F6FAE">
        <w:rPr>
          <w:rFonts w:ascii="Avenir Next" w:hAnsi="Avenir Next"/>
          <w:i/>
          <w:sz w:val="24"/>
          <w:szCs w:val="24"/>
        </w:rPr>
        <w:t xml:space="preserve">ersicolores </w:t>
      </w:r>
      <w:r w:rsidRPr="003F6FAE">
        <w:rPr>
          <w:rFonts w:ascii="Avenir Next" w:hAnsi="Avenir Next"/>
          <w:sz w:val="24"/>
          <w:szCs w:val="24"/>
        </w:rPr>
        <w:t xml:space="preserve">(ver figura 6C.2), </w:t>
      </w:r>
      <w:r w:rsidRPr="003F6FAE">
        <w:rPr>
          <w:rFonts w:ascii="Avenir Next" w:hAnsi="Avenir Next"/>
          <w:i/>
          <w:sz w:val="24"/>
          <w:szCs w:val="24"/>
        </w:rPr>
        <w:t>Cladosporium</w:t>
      </w:r>
      <w:r w:rsidRPr="003F6FAE">
        <w:rPr>
          <w:rFonts w:ascii="Avenir Next" w:hAnsi="Avenir Next"/>
          <w:i/>
          <w:iCs/>
          <w:sz w:val="24"/>
          <w:szCs w:val="24"/>
        </w:rPr>
        <w:t xml:space="preserve"> </w:t>
      </w:r>
      <w:r w:rsidR="00881C2D" w:rsidRPr="003F6FAE">
        <w:rPr>
          <w:rFonts w:ascii="Avenir Next" w:hAnsi="Avenir Next"/>
          <w:i/>
          <w:iCs/>
          <w:sz w:val="24"/>
          <w:szCs w:val="24"/>
        </w:rPr>
        <w:t>tenuissimum</w:t>
      </w:r>
      <w:r w:rsidRPr="003F6FAE">
        <w:rPr>
          <w:rFonts w:ascii="Avenir Next" w:hAnsi="Avenir Next"/>
          <w:sz w:val="24"/>
          <w:szCs w:val="24"/>
        </w:rPr>
        <w:t>. (</w:t>
      </w:r>
      <w:r w:rsidRPr="002667B2">
        <w:rPr>
          <w:rFonts w:ascii="Avenir Next" w:hAnsi="Avenir Next"/>
          <w:sz w:val="24"/>
          <w:szCs w:val="24"/>
        </w:rPr>
        <w:t>ver figura 6D.1)</w:t>
      </w:r>
      <w:r w:rsidRPr="002667B2">
        <w:rPr>
          <w:rFonts w:ascii="Avenir Next" w:hAnsi="Avenir Next"/>
          <w:i/>
          <w:sz w:val="24"/>
          <w:szCs w:val="24"/>
        </w:rPr>
        <w:t xml:space="preserve"> </w:t>
      </w:r>
      <w:r w:rsidRPr="002667B2">
        <w:rPr>
          <w:rFonts w:ascii="Avenir Next" w:hAnsi="Avenir Next"/>
          <w:sz w:val="24"/>
          <w:szCs w:val="24"/>
        </w:rPr>
        <w:t xml:space="preserve">y </w:t>
      </w:r>
      <w:r w:rsidRPr="002667B2">
        <w:rPr>
          <w:rFonts w:ascii="Avenir Next" w:hAnsi="Avenir Next"/>
          <w:color w:val="1A1A1A"/>
          <w:sz w:val="24"/>
          <w:szCs w:val="24"/>
        </w:rPr>
        <w:t>otro hongo filamentoso septado no esporulado.</w:t>
      </w:r>
      <w:r w:rsidRPr="002667B2">
        <w:rPr>
          <w:rFonts w:ascii="Avenir Next" w:hAnsi="Avenir Next"/>
          <w:color w:val="FF6C00"/>
          <w:sz w:val="24"/>
          <w:szCs w:val="24"/>
        </w:rPr>
        <w:t xml:space="preserve"> </w:t>
      </w:r>
      <w:r w:rsidRPr="002667B2">
        <w:rPr>
          <w:rFonts w:ascii="Avenir Next" w:hAnsi="Avenir Next"/>
          <w:color w:val="1A1A1A"/>
          <w:sz w:val="24"/>
          <w:szCs w:val="24"/>
        </w:rPr>
        <w:t xml:space="preserve">Cuatro de los hongos aislados no pudieron ser identificados porque no se logró inducir la producción de estructuras esporóforas, elementos fundamentales para la clasificación taxonómica por morfología microscópica </w:t>
      </w:r>
      <w:r w:rsidR="00D95965" w:rsidRPr="002667B2">
        <w:rPr>
          <w:rFonts w:ascii="Avenir Next" w:hAnsi="Avenir Next"/>
          <w:color w:val="1A1A1A"/>
          <w:sz w:val="24"/>
          <w:szCs w:val="24"/>
        </w:rPr>
        <w:t>y,</w:t>
      </w:r>
      <w:r w:rsidRPr="002667B2">
        <w:rPr>
          <w:rFonts w:ascii="Avenir Next" w:hAnsi="Avenir Next"/>
          <w:color w:val="1A1A1A"/>
          <w:sz w:val="24"/>
          <w:szCs w:val="24"/>
        </w:rPr>
        <w:t xml:space="preserve"> además, son organismos cuyos espectros de masas no se encuentran disponibles en las bases de datos consultadas.</w:t>
      </w:r>
    </w:p>
    <w:p w14:paraId="1D844B29" w14:textId="77777777" w:rsidR="00D92F0A" w:rsidRPr="00D92F0A" w:rsidRDefault="00AA5394" w:rsidP="00835207">
      <w:pPr>
        <w:spacing w:after="200" w:line="240" w:lineRule="auto"/>
        <w:jc w:val="center"/>
        <w:rPr>
          <w:rFonts w:ascii="Avenir Next" w:hAnsi="Avenir Next"/>
          <w:b/>
          <w:sz w:val="23"/>
          <w:szCs w:val="23"/>
        </w:rPr>
      </w:pPr>
      <w:r w:rsidRPr="00D92F0A">
        <w:rPr>
          <w:rFonts w:ascii="Avenir Next" w:hAnsi="Avenir Next"/>
          <w:b/>
          <w:sz w:val="23"/>
          <w:szCs w:val="23"/>
        </w:rPr>
        <w:t xml:space="preserve">Figura 6. </w:t>
      </w:r>
    </w:p>
    <w:p w14:paraId="412CE76C" w14:textId="7744242E" w:rsidR="008F27BA" w:rsidRPr="00D92F0A" w:rsidRDefault="00AA5394" w:rsidP="00835207">
      <w:pPr>
        <w:spacing w:after="200" w:line="240" w:lineRule="auto"/>
        <w:jc w:val="center"/>
        <w:rPr>
          <w:rFonts w:ascii="Avenir Next" w:hAnsi="Avenir Next"/>
          <w:i/>
          <w:sz w:val="23"/>
          <w:szCs w:val="23"/>
        </w:rPr>
      </w:pPr>
      <w:r w:rsidRPr="00D92F0A">
        <w:rPr>
          <w:rFonts w:ascii="Avenir Next" w:hAnsi="Avenir Next"/>
          <w:b/>
          <w:i/>
          <w:sz w:val="23"/>
          <w:szCs w:val="23"/>
        </w:rPr>
        <w:t xml:space="preserve">Zonas donde se aislaron microorganismos. </w:t>
      </w:r>
      <w:r w:rsidRPr="00D92F0A">
        <w:rPr>
          <w:rFonts w:ascii="Avenir Next" w:hAnsi="Avenir Next"/>
          <w:i/>
          <w:sz w:val="23"/>
          <w:szCs w:val="23"/>
        </w:rPr>
        <w:t xml:space="preserve">Fotografías en VIS de </w:t>
      </w:r>
      <w:r w:rsidRPr="00D92F0A">
        <w:rPr>
          <w:rFonts w:ascii="Avenir Next" w:hAnsi="Avenir Next"/>
          <w:i/>
          <w:iCs/>
          <w:sz w:val="23"/>
          <w:szCs w:val="23"/>
        </w:rPr>
        <w:t>Paisaje con casa campesina</w:t>
      </w:r>
      <w:r w:rsidRPr="00D92F0A">
        <w:rPr>
          <w:rFonts w:ascii="Avenir Next" w:hAnsi="Avenir Next"/>
          <w:i/>
          <w:sz w:val="23"/>
          <w:szCs w:val="23"/>
        </w:rPr>
        <w:t xml:space="preserve"> por el</w:t>
      </w:r>
      <w:r w:rsidRPr="00D92F0A">
        <w:rPr>
          <w:rFonts w:ascii="Avenir Next" w:hAnsi="Avenir Next"/>
          <w:b/>
          <w:i/>
          <w:sz w:val="23"/>
          <w:szCs w:val="23"/>
        </w:rPr>
        <w:t xml:space="preserve"> A) </w:t>
      </w:r>
      <w:r w:rsidRPr="00D92F0A">
        <w:rPr>
          <w:rFonts w:ascii="Avenir Next" w:hAnsi="Avenir Next"/>
          <w:i/>
          <w:sz w:val="23"/>
          <w:szCs w:val="23"/>
        </w:rPr>
        <w:t>anverso y</w:t>
      </w:r>
      <w:r w:rsidRPr="00D92F0A">
        <w:rPr>
          <w:rFonts w:ascii="Avenir Next" w:hAnsi="Avenir Next"/>
          <w:b/>
          <w:i/>
          <w:sz w:val="23"/>
          <w:szCs w:val="23"/>
        </w:rPr>
        <w:t xml:space="preserve"> B) </w:t>
      </w:r>
      <w:r w:rsidRPr="00D92F0A">
        <w:rPr>
          <w:rFonts w:ascii="Avenir Next" w:hAnsi="Avenir Next"/>
          <w:i/>
          <w:sz w:val="23"/>
          <w:szCs w:val="23"/>
        </w:rPr>
        <w:t>reverso, y</w:t>
      </w:r>
      <w:r w:rsidRPr="00D92F0A">
        <w:rPr>
          <w:rFonts w:ascii="Avenir Next" w:hAnsi="Avenir Next"/>
          <w:b/>
          <w:i/>
          <w:sz w:val="23"/>
          <w:szCs w:val="23"/>
        </w:rPr>
        <w:t xml:space="preserve"> C) </w:t>
      </w:r>
      <w:r w:rsidRPr="00D92F0A">
        <w:rPr>
          <w:rFonts w:ascii="Avenir Next" w:hAnsi="Avenir Next"/>
          <w:i/>
          <w:sz w:val="23"/>
          <w:szCs w:val="23"/>
        </w:rPr>
        <w:t>anverso y</w:t>
      </w:r>
      <w:r w:rsidRPr="00D92F0A">
        <w:rPr>
          <w:rFonts w:ascii="Avenir Next" w:hAnsi="Avenir Next"/>
          <w:b/>
          <w:i/>
          <w:sz w:val="23"/>
          <w:szCs w:val="23"/>
        </w:rPr>
        <w:t xml:space="preserve"> D) </w:t>
      </w:r>
      <w:r w:rsidRPr="00D92F0A">
        <w:rPr>
          <w:rFonts w:ascii="Avenir Next" w:hAnsi="Avenir Next"/>
          <w:i/>
          <w:sz w:val="23"/>
          <w:szCs w:val="23"/>
        </w:rPr>
        <w:t xml:space="preserve">reverso de </w:t>
      </w:r>
      <w:r w:rsidRPr="00D92F0A">
        <w:rPr>
          <w:rFonts w:ascii="Avenir Next" w:hAnsi="Avenir Next"/>
          <w:i/>
          <w:iCs/>
          <w:sz w:val="23"/>
          <w:szCs w:val="23"/>
        </w:rPr>
        <w:t>El puente</w:t>
      </w:r>
      <w:r w:rsidRPr="00D92F0A">
        <w:rPr>
          <w:rFonts w:ascii="Avenir Next" w:hAnsi="Avenir Next"/>
          <w:i/>
          <w:sz w:val="23"/>
          <w:szCs w:val="23"/>
        </w:rPr>
        <w:t xml:space="preserve"> que muestran la ubicación de los microorganismos aislados. Algunos de los microorganismos aislados se muestran: </w:t>
      </w:r>
      <w:r w:rsidRPr="00D92F0A">
        <w:rPr>
          <w:rFonts w:ascii="Avenir Next" w:hAnsi="Avenir Next"/>
          <w:b/>
          <w:i/>
          <w:sz w:val="23"/>
          <w:szCs w:val="23"/>
        </w:rPr>
        <w:t>A.1)</w:t>
      </w:r>
      <w:r w:rsidRPr="00D92F0A">
        <w:rPr>
          <w:rFonts w:ascii="Avenir Next" w:hAnsi="Avenir Next"/>
          <w:i/>
          <w:sz w:val="23"/>
          <w:szCs w:val="23"/>
        </w:rPr>
        <w:t xml:space="preserve"> hongo hialino</w:t>
      </w:r>
      <w:r w:rsidR="00236C49" w:rsidRPr="00D92F0A">
        <w:rPr>
          <w:rFonts w:ascii="Avenir Next" w:hAnsi="Avenir Next"/>
          <w:i/>
          <w:sz w:val="23"/>
          <w:szCs w:val="23"/>
        </w:rPr>
        <w:t xml:space="preserve"> septado</w:t>
      </w:r>
      <w:r w:rsidRPr="00D92F0A">
        <w:rPr>
          <w:rFonts w:ascii="Avenir Next" w:hAnsi="Avenir Next"/>
          <w:i/>
          <w:sz w:val="23"/>
          <w:szCs w:val="23"/>
        </w:rPr>
        <w:t xml:space="preserve">, </w:t>
      </w:r>
      <w:r w:rsidRPr="00D92F0A">
        <w:rPr>
          <w:rFonts w:ascii="Avenir Next" w:hAnsi="Avenir Next"/>
          <w:b/>
          <w:i/>
          <w:sz w:val="23"/>
          <w:szCs w:val="23"/>
        </w:rPr>
        <w:t>A.2)</w:t>
      </w:r>
      <w:r w:rsidRPr="00D92F0A">
        <w:rPr>
          <w:rFonts w:ascii="Avenir Next" w:hAnsi="Avenir Next"/>
          <w:i/>
          <w:sz w:val="23"/>
          <w:szCs w:val="23"/>
        </w:rPr>
        <w:t xml:space="preserve"> hongo fuliginoso, </w:t>
      </w:r>
      <w:r w:rsidRPr="00D92F0A">
        <w:rPr>
          <w:rFonts w:ascii="Avenir Next" w:hAnsi="Avenir Next"/>
          <w:b/>
          <w:i/>
          <w:sz w:val="23"/>
          <w:szCs w:val="23"/>
        </w:rPr>
        <w:t>C.1)</w:t>
      </w:r>
      <w:r w:rsidRPr="00D92F0A">
        <w:rPr>
          <w:rFonts w:ascii="Avenir Next" w:hAnsi="Avenir Next"/>
          <w:i/>
          <w:sz w:val="23"/>
          <w:szCs w:val="23"/>
        </w:rPr>
        <w:t xml:space="preserve"> </w:t>
      </w:r>
      <w:r w:rsidRPr="00D92F0A">
        <w:rPr>
          <w:rFonts w:ascii="Avenir Next" w:hAnsi="Avenir Next"/>
          <w:b/>
          <w:i/>
          <w:sz w:val="23"/>
          <w:szCs w:val="23"/>
        </w:rPr>
        <w:t>C.2)</w:t>
      </w:r>
      <w:r w:rsidRPr="00D92F0A">
        <w:rPr>
          <w:rFonts w:ascii="Avenir Next" w:hAnsi="Avenir Next"/>
          <w:i/>
          <w:sz w:val="23"/>
          <w:szCs w:val="23"/>
        </w:rPr>
        <w:t xml:space="preserve"> Aspergillus </w:t>
      </w:r>
      <w:r w:rsidR="00236C49" w:rsidRPr="00D92F0A">
        <w:rPr>
          <w:rFonts w:ascii="Avenir Next" w:hAnsi="Avenir Next"/>
          <w:i/>
          <w:iCs/>
          <w:sz w:val="23"/>
          <w:szCs w:val="23"/>
        </w:rPr>
        <w:t>sección</w:t>
      </w:r>
      <w:r w:rsidR="00236C49" w:rsidRPr="00D92F0A">
        <w:rPr>
          <w:rFonts w:ascii="Avenir Next" w:hAnsi="Avenir Next"/>
          <w:i/>
          <w:sz w:val="23"/>
          <w:szCs w:val="23"/>
        </w:rPr>
        <w:t xml:space="preserve"> V</w:t>
      </w:r>
      <w:r w:rsidRPr="00D92F0A">
        <w:rPr>
          <w:rFonts w:ascii="Avenir Next" w:hAnsi="Avenir Next"/>
          <w:i/>
          <w:sz w:val="23"/>
          <w:szCs w:val="23"/>
        </w:rPr>
        <w:t xml:space="preserve">ersicolor y </w:t>
      </w:r>
      <w:r w:rsidRPr="00D92F0A">
        <w:rPr>
          <w:rFonts w:ascii="Avenir Next" w:hAnsi="Avenir Next"/>
          <w:b/>
          <w:i/>
          <w:sz w:val="23"/>
          <w:szCs w:val="23"/>
        </w:rPr>
        <w:t>D.1)</w:t>
      </w:r>
      <w:r w:rsidRPr="00D92F0A">
        <w:rPr>
          <w:rFonts w:ascii="Avenir Next" w:hAnsi="Avenir Next"/>
          <w:i/>
          <w:sz w:val="23"/>
          <w:szCs w:val="23"/>
        </w:rPr>
        <w:t xml:space="preserve"> Cladosporium </w:t>
      </w:r>
      <w:r w:rsidR="00236C49" w:rsidRPr="00D92F0A">
        <w:rPr>
          <w:rFonts w:ascii="Avenir Next" w:hAnsi="Avenir Next"/>
          <w:i/>
          <w:sz w:val="23"/>
          <w:szCs w:val="23"/>
        </w:rPr>
        <w:t>tenuissimum</w:t>
      </w:r>
      <w:r w:rsidRPr="00D92F0A">
        <w:rPr>
          <w:rFonts w:ascii="Avenir Next" w:hAnsi="Avenir Next"/>
          <w:i/>
          <w:iCs/>
          <w:sz w:val="23"/>
          <w:szCs w:val="23"/>
        </w:rPr>
        <w:t>.</w:t>
      </w:r>
      <w:r w:rsidRPr="00D92F0A">
        <w:rPr>
          <w:rFonts w:ascii="Avenir Next" w:hAnsi="Avenir Next"/>
          <w:i/>
          <w:sz w:val="23"/>
          <w:szCs w:val="23"/>
        </w:rPr>
        <w:t xml:space="preserve"> En ambos casos la zona de control negativo se identifica en morado. </w:t>
      </w:r>
    </w:p>
    <w:p w14:paraId="72B6FC3D" w14:textId="71733BDD" w:rsidR="00A841EB" w:rsidRPr="002667B2" w:rsidRDefault="00835207">
      <w:pPr>
        <w:spacing w:after="200" w:line="240" w:lineRule="auto"/>
        <w:jc w:val="both"/>
        <w:rPr>
          <w:rFonts w:ascii="Avenir Next" w:hAnsi="Avenir Next"/>
          <w:sz w:val="24"/>
          <w:szCs w:val="24"/>
        </w:rPr>
      </w:pPr>
      <w:r w:rsidRPr="002667B2">
        <w:rPr>
          <w:rFonts w:ascii="Avenir Next" w:hAnsi="Avenir Next"/>
          <w:noProof/>
          <w:color w:val="FF6C00"/>
          <w:sz w:val="24"/>
          <w:szCs w:val="24"/>
          <w:lang w:eastAsia="es-CR"/>
        </w:rPr>
        <w:drawing>
          <wp:anchor distT="0" distB="0" distL="114300" distR="114300" simplePos="0" relativeHeight="251667456" behindDoc="0" locked="0" layoutInCell="1" allowOverlap="1" wp14:anchorId="5BBEC2F4" wp14:editId="0E86C480">
            <wp:simplePos x="0" y="0"/>
            <wp:positionH relativeFrom="margin">
              <wp:posOffset>1557020</wp:posOffset>
            </wp:positionH>
            <wp:positionV relativeFrom="paragraph">
              <wp:posOffset>8255</wp:posOffset>
            </wp:positionV>
            <wp:extent cx="3009900" cy="2762486"/>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22" cstate="print">
                      <a:extLst>
                        <a:ext uri="{28A0092B-C50C-407E-A947-70E740481C1C}">
                          <a14:useLocalDpi xmlns:a14="http://schemas.microsoft.com/office/drawing/2010/main" val="0"/>
                        </a:ext>
                      </a:extLst>
                    </a:blip>
                    <a:srcRect l="2566" t="8334" r="6334" b="3589"/>
                    <a:stretch/>
                  </pic:blipFill>
                  <pic:spPr bwMode="auto">
                    <a:xfrm>
                      <a:off x="0" y="0"/>
                      <a:ext cx="3009900" cy="27624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F7A07A" w14:textId="77777777" w:rsidR="00A841EB" w:rsidRPr="002667B2" w:rsidRDefault="00A841EB">
      <w:pPr>
        <w:spacing w:after="200" w:line="240" w:lineRule="auto"/>
        <w:jc w:val="both"/>
        <w:rPr>
          <w:rFonts w:ascii="Avenir Next" w:hAnsi="Avenir Next"/>
          <w:sz w:val="24"/>
          <w:szCs w:val="24"/>
        </w:rPr>
      </w:pPr>
    </w:p>
    <w:p w14:paraId="66D44CF2" w14:textId="77777777" w:rsidR="00A841EB" w:rsidRPr="002667B2" w:rsidRDefault="00A841EB">
      <w:pPr>
        <w:spacing w:after="200" w:line="240" w:lineRule="auto"/>
        <w:jc w:val="both"/>
        <w:rPr>
          <w:rFonts w:ascii="Avenir Next" w:hAnsi="Avenir Next"/>
          <w:sz w:val="24"/>
          <w:szCs w:val="24"/>
        </w:rPr>
      </w:pPr>
    </w:p>
    <w:p w14:paraId="7998DE04" w14:textId="77777777" w:rsidR="00A841EB" w:rsidRPr="002667B2" w:rsidRDefault="00A841EB">
      <w:pPr>
        <w:spacing w:after="200" w:line="240" w:lineRule="auto"/>
        <w:jc w:val="both"/>
        <w:rPr>
          <w:rFonts w:ascii="Avenir Next" w:hAnsi="Avenir Next"/>
          <w:sz w:val="24"/>
          <w:szCs w:val="24"/>
        </w:rPr>
      </w:pPr>
    </w:p>
    <w:p w14:paraId="788A3430" w14:textId="77777777" w:rsidR="00A841EB" w:rsidRPr="002667B2" w:rsidRDefault="00A841EB">
      <w:pPr>
        <w:spacing w:after="200" w:line="240" w:lineRule="auto"/>
        <w:jc w:val="both"/>
        <w:rPr>
          <w:rFonts w:ascii="Avenir Next" w:hAnsi="Avenir Next"/>
          <w:sz w:val="24"/>
          <w:szCs w:val="24"/>
        </w:rPr>
      </w:pPr>
    </w:p>
    <w:p w14:paraId="690115A3" w14:textId="77777777" w:rsidR="00A841EB" w:rsidRPr="002667B2" w:rsidRDefault="00A841EB">
      <w:pPr>
        <w:spacing w:after="200" w:line="240" w:lineRule="auto"/>
        <w:jc w:val="both"/>
        <w:rPr>
          <w:rFonts w:ascii="Avenir Next" w:hAnsi="Avenir Next"/>
          <w:sz w:val="24"/>
          <w:szCs w:val="24"/>
        </w:rPr>
      </w:pPr>
    </w:p>
    <w:p w14:paraId="69A80653" w14:textId="77777777" w:rsidR="00A841EB" w:rsidRPr="002667B2" w:rsidRDefault="00A841EB">
      <w:pPr>
        <w:spacing w:after="200" w:line="240" w:lineRule="auto"/>
        <w:jc w:val="both"/>
        <w:rPr>
          <w:rFonts w:ascii="Avenir Next" w:hAnsi="Avenir Next"/>
          <w:sz w:val="24"/>
          <w:szCs w:val="24"/>
        </w:rPr>
      </w:pPr>
    </w:p>
    <w:p w14:paraId="6115A037" w14:textId="77777777" w:rsidR="00A841EB" w:rsidRPr="002667B2" w:rsidRDefault="00A841EB">
      <w:pPr>
        <w:spacing w:after="200" w:line="240" w:lineRule="auto"/>
        <w:jc w:val="both"/>
        <w:rPr>
          <w:rFonts w:ascii="Avenir Next" w:hAnsi="Avenir Next"/>
          <w:sz w:val="24"/>
          <w:szCs w:val="24"/>
        </w:rPr>
      </w:pPr>
    </w:p>
    <w:p w14:paraId="546ED4EE" w14:textId="77777777" w:rsidR="00D92F0A" w:rsidRDefault="00A841EB" w:rsidP="00CF4FA7">
      <w:pPr>
        <w:spacing w:after="200" w:line="240" w:lineRule="auto"/>
        <w:jc w:val="both"/>
        <w:rPr>
          <w:rFonts w:ascii="Avenir Next" w:hAnsi="Avenir Next"/>
          <w:i/>
          <w:sz w:val="24"/>
          <w:szCs w:val="24"/>
        </w:rPr>
      </w:pPr>
      <w:r w:rsidRPr="00D92F0A">
        <w:rPr>
          <w:rFonts w:ascii="Avenir Next" w:hAnsi="Avenir Next"/>
          <w:i/>
          <w:sz w:val="24"/>
          <w:szCs w:val="24"/>
        </w:rPr>
        <w:t xml:space="preserve">             </w:t>
      </w:r>
      <w:r w:rsidR="00D92F0A">
        <w:rPr>
          <w:rFonts w:ascii="Avenir Next" w:hAnsi="Avenir Next"/>
          <w:i/>
          <w:sz w:val="24"/>
          <w:szCs w:val="24"/>
        </w:rPr>
        <w:t xml:space="preserve">  </w:t>
      </w:r>
    </w:p>
    <w:p w14:paraId="15B04503" w14:textId="632D2E8D" w:rsidR="00CF4FA7" w:rsidRPr="00D92F0A" w:rsidRDefault="00A841EB" w:rsidP="00CF4FA7">
      <w:pPr>
        <w:spacing w:after="200" w:line="240" w:lineRule="auto"/>
        <w:jc w:val="both"/>
        <w:rPr>
          <w:rFonts w:ascii="Avenir Next" w:hAnsi="Avenir Next"/>
          <w:b/>
          <w:bCs/>
          <w:szCs w:val="20"/>
        </w:rPr>
      </w:pPr>
      <w:r w:rsidRPr="00D92F0A">
        <w:rPr>
          <w:rFonts w:ascii="Avenir Next" w:hAnsi="Avenir Next"/>
          <w:i/>
          <w:sz w:val="24"/>
          <w:szCs w:val="24"/>
        </w:rPr>
        <w:t xml:space="preserve">                  </w:t>
      </w:r>
      <w:r w:rsidR="00D92F0A">
        <w:rPr>
          <w:rFonts w:ascii="Avenir Next" w:hAnsi="Avenir Next"/>
          <w:i/>
          <w:sz w:val="24"/>
          <w:szCs w:val="24"/>
        </w:rPr>
        <w:t xml:space="preserve">                   </w:t>
      </w:r>
      <w:r w:rsidR="00CF4FA7" w:rsidRPr="00D92F0A">
        <w:rPr>
          <w:rFonts w:ascii="Avenir Next" w:hAnsi="Avenir Next"/>
          <w:bCs/>
          <w:i/>
          <w:szCs w:val="20"/>
        </w:rPr>
        <w:t>Fuente:</w:t>
      </w:r>
      <w:r w:rsidR="00CF4FA7" w:rsidRPr="00D92F0A">
        <w:rPr>
          <w:rFonts w:ascii="Avenir Next" w:hAnsi="Avenir Next"/>
          <w:b/>
          <w:bCs/>
          <w:szCs w:val="20"/>
        </w:rPr>
        <w:t xml:space="preserve"> </w:t>
      </w:r>
      <w:r w:rsidR="00CF4FA7" w:rsidRPr="00D92F0A">
        <w:rPr>
          <w:rFonts w:ascii="Avenir Next" w:hAnsi="Avenir Next"/>
          <w:szCs w:val="20"/>
        </w:rPr>
        <w:t>Elaboración propia</w:t>
      </w:r>
      <w:r w:rsidR="00A84454" w:rsidRPr="00D92F0A">
        <w:rPr>
          <w:rFonts w:ascii="Avenir Next" w:hAnsi="Avenir Next"/>
          <w:szCs w:val="20"/>
        </w:rPr>
        <w:t xml:space="preserve"> hecha </w:t>
      </w:r>
      <w:r w:rsidR="00CF4FA7" w:rsidRPr="00D92F0A">
        <w:rPr>
          <w:rFonts w:ascii="Avenir Next" w:hAnsi="Avenir Next"/>
          <w:szCs w:val="20"/>
        </w:rPr>
        <w:t>por Mariana Viales Leandro</w:t>
      </w:r>
      <w:r w:rsidR="00D92F0A" w:rsidRPr="00D92F0A">
        <w:rPr>
          <w:rFonts w:ascii="Avenir Next" w:hAnsi="Avenir Next"/>
          <w:szCs w:val="20"/>
        </w:rPr>
        <w:t>, 2022.</w:t>
      </w:r>
    </w:p>
    <w:p w14:paraId="26542E34"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lastRenderedPageBreak/>
        <w:t xml:space="preserve">Las obras de arte hechas de textiles, papel, madera e incluso piedras podrían proporcionar sustratos para el desarrollo microbiano, que a menudo pasa desapercibido a menos que se produzca un crecimiento excesivo que resulte al establecimiento de biopelículas y una decoloración o un debilitamiento de la integridad física del material (Pyzik </w:t>
      </w:r>
      <w:r w:rsidRPr="002667B2">
        <w:rPr>
          <w:rFonts w:ascii="Avenir Next" w:hAnsi="Avenir Next"/>
          <w:iCs/>
          <w:sz w:val="24"/>
          <w:szCs w:val="24"/>
        </w:rPr>
        <w:t>et al.,</w:t>
      </w:r>
      <w:r w:rsidRPr="002667B2">
        <w:rPr>
          <w:rFonts w:ascii="Avenir Next" w:hAnsi="Avenir Next"/>
          <w:sz w:val="24"/>
          <w:szCs w:val="24"/>
        </w:rPr>
        <w:t xml:space="preserve"> 2021; Vieto </w:t>
      </w:r>
      <w:r w:rsidRPr="002667B2">
        <w:rPr>
          <w:rFonts w:ascii="Avenir Next" w:hAnsi="Avenir Next"/>
          <w:iCs/>
          <w:sz w:val="24"/>
          <w:szCs w:val="24"/>
        </w:rPr>
        <w:t>et al.,</w:t>
      </w:r>
      <w:r w:rsidRPr="002667B2">
        <w:rPr>
          <w:rFonts w:ascii="Avenir Next" w:hAnsi="Avenir Next"/>
          <w:sz w:val="24"/>
          <w:szCs w:val="24"/>
        </w:rPr>
        <w:t xml:space="preserve"> 2021). En el caso de las zonas muestreadas en </w:t>
      </w:r>
      <w:r w:rsidR="009D6FCE" w:rsidRPr="009D6FCE">
        <w:rPr>
          <w:rFonts w:ascii="Avenir Next" w:hAnsi="Avenir Next"/>
          <w:sz w:val="24"/>
          <w:szCs w:val="24"/>
        </w:rPr>
        <w:t>l</w:t>
      </w:r>
      <w:r w:rsidRPr="009D6FCE">
        <w:rPr>
          <w:rFonts w:ascii="Avenir Next" w:hAnsi="Avenir Next"/>
          <w:sz w:val="24"/>
          <w:szCs w:val="24"/>
        </w:rPr>
        <w:t>as obras</w:t>
      </w:r>
      <w:r w:rsidRPr="002667B2">
        <w:rPr>
          <w:rFonts w:ascii="Avenir Next" w:hAnsi="Avenir Next"/>
          <w:sz w:val="24"/>
          <w:szCs w:val="24"/>
        </w:rPr>
        <w:t xml:space="preserve"> se identificó un ligero hundimiento en la mayoría de los casos, que en VIS no era posible observar a menos que se utilizara una lupa. Otras zonas corresponden a espacios donde existen decoloraciones </w:t>
      </w:r>
      <w:r w:rsidR="009D6FCE" w:rsidRPr="003F6FAE">
        <w:rPr>
          <w:rFonts w:ascii="Avenir Next" w:hAnsi="Avenir Next"/>
          <w:sz w:val="24"/>
          <w:szCs w:val="24"/>
        </w:rPr>
        <w:t>muy probable</w:t>
      </w:r>
      <w:r w:rsidR="00236C49" w:rsidRPr="003F6FAE">
        <w:rPr>
          <w:rFonts w:ascii="Avenir Next" w:hAnsi="Avenir Next"/>
          <w:sz w:val="24"/>
          <w:szCs w:val="24"/>
        </w:rPr>
        <w:t>mente</w:t>
      </w:r>
      <w:r w:rsidRPr="003F6FAE">
        <w:rPr>
          <w:rFonts w:ascii="Avenir Next" w:hAnsi="Avenir Next"/>
          <w:sz w:val="24"/>
          <w:szCs w:val="24"/>
        </w:rPr>
        <w:t xml:space="preserve"> causadas</w:t>
      </w:r>
      <w:r w:rsidRPr="002667B2">
        <w:rPr>
          <w:rFonts w:ascii="Avenir Next" w:hAnsi="Avenir Next"/>
          <w:sz w:val="24"/>
          <w:szCs w:val="24"/>
        </w:rPr>
        <w:t xml:space="preserve"> por agua posteriores a la producción de la obra. El papel se produce mediante el procesamiento de tipo mecánico y químico de las fibras de celulosa provenientes de la madera, por lo tanto, el papel se considera un sustrato óptimo para el crecimiento de microorganismos que puedan </w:t>
      </w:r>
      <w:r w:rsidRPr="003F6FAE">
        <w:rPr>
          <w:rFonts w:ascii="Avenir Next" w:hAnsi="Avenir Next"/>
          <w:sz w:val="24"/>
          <w:szCs w:val="24"/>
        </w:rPr>
        <w:t>aprovechar esta fuente de</w:t>
      </w:r>
      <w:r w:rsidRPr="002667B2">
        <w:rPr>
          <w:rFonts w:ascii="Avenir Next" w:hAnsi="Avenir Next"/>
          <w:sz w:val="24"/>
          <w:szCs w:val="24"/>
        </w:rPr>
        <w:t xml:space="preserve"> nutrientes (Zhgun </w:t>
      </w:r>
      <w:r w:rsidRPr="002667B2">
        <w:rPr>
          <w:rFonts w:ascii="Avenir Next" w:hAnsi="Avenir Next"/>
          <w:iCs/>
          <w:sz w:val="24"/>
          <w:szCs w:val="24"/>
        </w:rPr>
        <w:t>et al.,</w:t>
      </w:r>
      <w:r w:rsidRPr="002667B2">
        <w:rPr>
          <w:rFonts w:ascii="Avenir Next" w:hAnsi="Avenir Next"/>
          <w:sz w:val="24"/>
          <w:szCs w:val="24"/>
        </w:rPr>
        <w:t xml:space="preserve"> 2020).</w:t>
      </w:r>
    </w:p>
    <w:p w14:paraId="067D3784"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Los microorganismos de varios tipos que pueden estar presentes en las obras de </w:t>
      </w:r>
      <w:r w:rsidR="00236C49" w:rsidRPr="002667B2">
        <w:rPr>
          <w:rFonts w:ascii="Avenir Next" w:hAnsi="Avenir Next"/>
          <w:sz w:val="24"/>
          <w:szCs w:val="24"/>
        </w:rPr>
        <w:t>arte</w:t>
      </w:r>
      <w:r w:rsidRPr="002667B2">
        <w:rPr>
          <w:rFonts w:ascii="Avenir Next" w:hAnsi="Avenir Next"/>
          <w:sz w:val="24"/>
          <w:szCs w:val="24"/>
        </w:rPr>
        <w:t xml:space="preserve"> han sido </w:t>
      </w:r>
      <w:r w:rsidR="00236C49" w:rsidRPr="003F6FAE">
        <w:rPr>
          <w:rFonts w:ascii="Avenir Next" w:hAnsi="Avenir Next"/>
          <w:sz w:val="24"/>
          <w:szCs w:val="24"/>
        </w:rPr>
        <w:t>muy</w:t>
      </w:r>
      <w:r w:rsidRPr="003F6FAE">
        <w:rPr>
          <w:rFonts w:ascii="Avenir Next" w:hAnsi="Avenir Next"/>
          <w:sz w:val="24"/>
          <w:szCs w:val="24"/>
        </w:rPr>
        <w:t xml:space="preserve"> estudiados en los últimos años (Sterflinger, 2010; Zhgun </w:t>
      </w:r>
      <w:r w:rsidRPr="003F6FAE">
        <w:rPr>
          <w:rFonts w:ascii="Avenir Next" w:hAnsi="Avenir Next"/>
          <w:iCs/>
          <w:sz w:val="24"/>
          <w:szCs w:val="24"/>
        </w:rPr>
        <w:t>et al.,</w:t>
      </w:r>
      <w:r w:rsidRPr="003F6FAE">
        <w:rPr>
          <w:rFonts w:ascii="Avenir Next" w:hAnsi="Avenir Next"/>
          <w:sz w:val="24"/>
          <w:szCs w:val="24"/>
        </w:rPr>
        <w:t xml:space="preserve"> 2020). Por ejemplo, la bacteria </w:t>
      </w:r>
      <w:r w:rsidRPr="003F6FAE">
        <w:rPr>
          <w:rFonts w:ascii="Avenir Next" w:hAnsi="Avenir Next"/>
          <w:i/>
          <w:sz w:val="24"/>
          <w:szCs w:val="24"/>
        </w:rPr>
        <w:t xml:space="preserve">B. cereus </w:t>
      </w:r>
      <w:r w:rsidRPr="003F6FAE">
        <w:rPr>
          <w:rFonts w:ascii="Avenir Next" w:hAnsi="Avenir Next"/>
          <w:sz w:val="24"/>
          <w:szCs w:val="24"/>
        </w:rPr>
        <w:t>se ha encontrado</w:t>
      </w:r>
      <w:r w:rsidR="002850FE" w:rsidRPr="003F6FAE">
        <w:rPr>
          <w:rFonts w:ascii="Avenir Next" w:hAnsi="Avenir Next"/>
          <w:sz w:val="24"/>
          <w:szCs w:val="24"/>
        </w:rPr>
        <w:t xml:space="preserve"> en otras ocasiones</w:t>
      </w:r>
      <w:r w:rsidRPr="003F6FAE">
        <w:rPr>
          <w:rFonts w:ascii="Avenir Next" w:hAnsi="Avenir Next"/>
          <w:sz w:val="24"/>
          <w:szCs w:val="24"/>
        </w:rPr>
        <w:t xml:space="preserve"> en pinturas de caballetes del siglo XVII atribuida</w:t>
      </w:r>
      <w:r w:rsidRPr="002667B2">
        <w:rPr>
          <w:rFonts w:ascii="Avenir Next" w:hAnsi="Avenir Next"/>
          <w:sz w:val="24"/>
          <w:szCs w:val="24"/>
        </w:rPr>
        <w:t>s al artista italiano Carlo Bononi, en donde los investigadores identificaron que la decoloración de algunos pigmentos como el amarillo y rojo de ocre puede deberse a la pres</w:t>
      </w:r>
      <w:r w:rsidRPr="002850FE">
        <w:rPr>
          <w:rFonts w:ascii="Avenir Next" w:hAnsi="Avenir Next"/>
          <w:sz w:val="24"/>
          <w:szCs w:val="24"/>
        </w:rPr>
        <w:t xml:space="preserve">encia de </w:t>
      </w:r>
      <w:r w:rsidR="002850FE" w:rsidRPr="002850FE">
        <w:rPr>
          <w:rFonts w:ascii="Avenir Next" w:hAnsi="Avenir Next"/>
          <w:sz w:val="24"/>
          <w:szCs w:val="24"/>
        </w:rPr>
        <w:t>la</w:t>
      </w:r>
      <w:r w:rsidRPr="002850FE">
        <w:rPr>
          <w:rFonts w:ascii="Avenir Next" w:hAnsi="Avenir Next"/>
          <w:sz w:val="24"/>
          <w:szCs w:val="24"/>
        </w:rPr>
        <w:t xml:space="preserve"> bacteria</w:t>
      </w:r>
      <w:r w:rsidRPr="002667B2">
        <w:rPr>
          <w:rFonts w:ascii="Avenir Next" w:hAnsi="Avenir Next"/>
          <w:sz w:val="24"/>
          <w:szCs w:val="24"/>
        </w:rPr>
        <w:t xml:space="preserve"> (Caselli </w:t>
      </w:r>
      <w:r w:rsidRPr="002667B2">
        <w:rPr>
          <w:rFonts w:ascii="Avenir Next" w:hAnsi="Avenir Next"/>
          <w:iCs/>
          <w:sz w:val="24"/>
          <w:szCs w:val="24"/>
        </w:rPr>
        <w:t>et al.,</w:t>
      </w:r>
      <w:r w:rsidRPr="002667B2">
        <w:rPr>
          <w:rFonts w:ascii="Avenir Next" w:hAnsi="Avenir Next"/>
          <w:sz w:val="24"/>
          <w:szCs w:val="24"/>
        </w:rPr>
        <w:t xml:space="preserve"> 2018). </w:t>
      </w:r>
      <w:r w:rsidRPr="002667B2">
        <w:rPr>
          <w:rFonts w:ascii="Avenir Next" w:hAnsi="Avenir Next"/>
          <w:i/>
          <w:sz w:val="24"/>
          <w:szCs w:val="24"/>
        </w:rPr>
        <w:t>B. cereus</w:t>
      </w:r>
      <w:r w:rsidRPr="002667B2">
        <w:rPr>
          <w:rFonts w:ascii="Avenir Next" w:hAnsi="Avenir Next"/>
          <w:sz w:val="24"/>
          <w:szCs w:val="24"/>
        </w:rPr>
        <w:t xml:space="preserve"> es una bacteria Gram positiva, esporulada, reconocida por ser uno de los principales agentes de enfermedad humana de transmisión alimentaria (Veysseyre </w:t>
      </w:r>
      <w:r w:rsidRPr="002667B2">
        <w:rPr>
          <w:rFonts w:ascii="Avenir Next" w:hAnsi="Avenir Next"/>
          <w:iCs/>
          <w:sz w:val="24"/>
          <w:szCs w:val="24"/>
        </w:rPr>
        <w:t>et al.,</w:t>
      </w:r>
      <w:r w:rsidRPr="002667B2">
        <w:rPr>
          <w:rFonts w:ascii="Avenir Next" w:hAnsi="Avenir Next"/>
          <w:i/>
          <w:sz w:val="24"/>
          <w:szCs w:val="24"/>
        </w:rPr>
        <w:t xml:space="preserve"> 2015</w:t>
      </w:r>
      <w:r w:rsidRPr="002667B2">
        <w:rPr>
          <w:rFonts w:ascii="Avenir Next" w:hAnsi="Avenir Next"/>
          <w:sz w:val="24"/>
          <w:szCs w:val="24"/>
        </w:rPr>
        <w:t xml:space="preserve">). Asimismo, se reconoce a </w:t>
      </w:r>
      <w:r w:rsidRPr="002667B2">
        <w:rPr>
          <w:rFonts w:ascii="Avenir Next" w:hAnsi="Avenir Next"/>
          <w:i/>
          <w:sz w:val="24"/>
          <w:szCs w:val="24"/>
        </w:rPr>
        <w:t>B. cereus</w:t>
      </w:r>
      <w:r w:rsidRPr="002667B2">
        <w:rPr>
          <w:rFonts w:ascii="Avenir Next" w:hAnsi="Avenir Next"/>
          <w:sz w:val="24"/>
          <w:szCs w:val="24"/>
        </w:rPr>
        <w:t xml:space="preserve"> como un agente </w:t>
      </w:r>
      <w:r w:rsidRPr="003F6FAE">
        <w:rPr>
          <w:rFonts w:ascii="Avenir Next" w:hAnsi="Avenir Next"/>
          <w:sz w:val="24"/>
          <w:szCs w:val="24"/>
        </w:rPr>
        <w:t>importante de deterioro de alimentos (principalmente lácteos)</w:t>
      </w:r>
      <w:r w:rsidRPr="002667B2">
        <w:rPr>
          <w:rFonts w:ascii="Avenir Next" w:hAnsi="Avenir Next"/>
          <w:sz w:val="24"/>
          <w:szCs w:val="24"/>
        </w:rPr>
        <w:t xml:space="preserve"> debido a su capacidad de producir enzimas extracelulares entre las que se encuentran proteasas, lipasas, lecitinasas (Kumari y Sarkar, 2016), quitinasas (Liang </w:t>
      </w:r>
      <w:r w:rsidRPr="002667B2">
        <w:rPr>
          <w:rFonts w:ascii="Avenir Next" w:hAnsi="Avenir Next"/>
          <w:iCs/>
          <w:sz w:val="24"/>
          <w:szCs w:val="24"/>
        </w:rPr>
        <w:t>et al.,</w:t>
      </w:r>
      <w:r w:rsidRPr="002667B2">
        <w:rPr>
          <w:rFonts w:ascii="Avenir Next" w:hAnsi="Avenir Next"/>
          <w:i/>
          <w:sz w:val="24"/>
          <w:szCs w:val="24"/>
        </w:rPr>
        <w:t xml:space="preserve"> </w:t>
      </w:r>
      <w:r w:rsidRPr="002667B2">
        <w:rPr>
          <w:rFonts w:ascii="Avenir Next" w:hAnsi="Avenir Next"/>
          <w:sz w:val="24"/>
          <w:szCs w:val="24"/>
        </w:rPr>
        <w:t xml:space="preserve">2014) y pectinasas (Namasivayam </w:t>
      </w:r>
      <w:r w:rsidRPr="002667B2">
        <w:rPr>
          <w:rFonts w:ascii="Avenir Next" w:hAnsi="Avenir Next"/>
          <w:iCs/>
          <w:sz w:val="24"/>
          <w:szCs w:val="24"/>
        </w:rPr>
        <w:t>et al.,</w:t>
      </w:r>
      <w:r w:rsidRPr="002667B2">
        <w:rPr>
          <w:rFonts w:ascii="Avenir Next" w:hAnsi="Avenir Next"/>
          <w:sz w:val="24"/>
          <w:szCs w:val="24"/>
        </w:rPr>
        <w:t xml:space="preserve"> 2011). También se reconoce la habilidad de </w:t>
      </w:r>
      <w:r w:rsidRPr="002667B2">
        <w:rPr>
          <w:rFonts w:ascii="Avenir Next" w:hAnsi="Avenir Next"/>
          <w:i/>
          <w:sz w:val="24"/>
          <w:szCs w:val="24"/>
        </w:rPr>
        <w:t>B. cereus</w:t>
      </w:r>
      <w:r w:rsidRPr="002667B2">
        <w:rPr>
          <w:rFonts w:ascii="Avenir Next" w:hAnsi="Avenir Next"/>
          <w:sz w:val="24"/>
          <w:szCs w:val="24"/>
        </w:rPr>
        <w:t xml:space="preserve"> de establecer biopelículas sobre superficies inanimadas, habilidad que podría aumentar su potencial de colonizar la superficie de obras pictóricas (Kumari y Sarkar, 2016). Lo anterior confirma que el </w:t>
      </w:r>
      <w:r w:rsidRPr="005C135E">
        <w:rPr>
          <w:rFonts w:ascii="Avenir Next" w:hAnsi="Avenir Next"/>
          <w:sz w:val="24"/>
          <w:szCs w:val="24"/>
        </w:rPr>
        <w:t xml:space="preserve">hallazgo de </w:t>
      </w:r>
      <w:r w:rsidR="00355A4A" w:rsidRPr="005C135E">
        <w:rPr>
          <w:rFonts w:ascii="Avenir Next" w:hAnsi="Avenir Next"/>
          <w:sz w:val="24"/>
          <w:szCs w:val="24"/>
        </w:rPr>
        <w:t>la</w:t>
      </w:r>
      <w:r w:rsidRPr="005C135E">
        <w:rPr>
          <w:rFonts w:ascii="Avenir Next" w:hAnsi="Avenir Next"/>
          <w:sz w:val="24"/>
          <w:szCs w:val="24"/>
        </w:rPr>
        <w:t xml:space="preserve"> bacteria no es accidental y estudios adicionales son necesarios</w:t>
      </w:r>
      <w:r w:rsidRPr="002667B2">
        <w:rPr>
          <w:rFonts w:ascii="Avenir Next" w:hAnsi="Avenir Next"/>
          <w:sz w:val="24"/>
          <w:szCs w:val="24"/>
        </w:rPr>
        <w:t xml:space="preserve"> para determinar si las enzimas degradativas presentes en </w:t>
      </w:r>
      <w:r w:rsidRPr="002667B2">
        <w:rPr>
          <w:rFonts w:ascii="Avenir Next" w:hAnsi="Avenir Next"/>
          <w:i/>
          <w:sz w:val="24"/>
          <w:szCs w:val="24"/>
        </w:rPr>
        <w:t>B. cereus</w:t>
      </w:r>
      <w:r w:rsidRPr="002667B2">
        <w:rPr>
          <w:rFonts w:ascii="Avenir Next" w:hAnsi="Avenir Next"/>
          <w:sz w:val="24"/>
          <w:szCs w:val="24"/>
        </w:rPr>
        <w:t xml:space="preserve"> poseen algún efecto de deterioro sobre las pinturas analizadas en la presente investigación.</w:t>
      </w:r>
    </w:p>
    <w:p w14:paraId="0CC78664" w14:textId="77777777" w:rsidR="00144113" w:rsidRPr="002667B2" w:rsidRDefault="002850FE">
      <w:pPr>
        <w:spacing w:after="200" w:line="240" w:lineRule="auto"/>
        <w:jc w:val="both"/>
        <w:rPr>
          <w:rFonts w:ascii="Avenir Next" w:hAnsi="Avenir Next"/>
          <w:sz w:val="24"/>
          <w:szCs w:val="24"/>
        </w:rPr>
      </w:pPr>
      <w:r>
        <w:rPr>
          <w:rFonts w:ascii="Avenir Next" w:hAnsi="Avenir Next"/>
          <w:sz w:val="24"/>
          <w:szCs w:val="24"/>
        </w:rPr>
        <w:t>Asimismo</w:t>
      </w:r>
      <w:r w:rsidR="00AA5394" w:rsidRPr="002667B2">
        <w:rPr>
          <w:rFonts w:ascii="Avenir Next" w:hAnsi="Avenir Next"/>
          <w:sz w:val="24"/>
          <w:szCs w:val="24"/>
        </w:rPr>
        <w:t xml:space="preserve">, una de las pinturas estaba colonizada por </w:t>
      </w:r>
      <w:r w:rsidR="00AA5394" w:rsidRPr="002667B2">
        <w:rPr>
          <w:rFonts w:ascii="Avenir Next" w:hAnsi="Avenir Next"/>
          <w:i/>
          <w:sz w:val="24"/>
          <w:szCs w:val="24"/>
        </w:rPr>
        <w:t>D. nishinomiyaensis</w:t>
      </w:r>
      <w:r w:rsidR="00AA5394" w:rsidRPr="002667B2">
        <w:rPr>
          <w:rFonts w:ascii="Avenir Next" w:hAnsi="Avenir Next"/>
          <w:sz w:val="24"/>
          <w:szCs w:val="24"/>
        </w:rPr>
        <w:t xml:space="preserve">, un coco Gram positivo que es componente normal de la microbiota de la piel humana aunque se ha podido aislar de algunas fuentes ambientales (Williams y MacLea, 2019). A diferencia de </w:t>
      </w:r>
      <w:r w:rsidR="00AA5394" w:rsidRPr="002667B2">
        <w:rPr>
          <w:rFonts w:ascii="Avenir Next" w:hAnsi="Avenir Next"/>
          <w:i/>
          <w:sz w:val="24"/>
          <w:szCs w:val="24"/>
        </w:rPr>
        <w:t>B. cereus</w:t>
      </w:r>
      <w:r w:rsidR="00AA5394" w:rsidRPr="002667B2">
        <w:rPr>
          <w:rFonts w:ascii="Avenir Next" w:hAnsi="Avenir Next"/>
          <w:sz w:val="24"/>
          <w:szCs w:val="24"/>
        </w:rPr>
        <w:t xml:space="preserve">, </w:t>
      </w:r>
      <w:r w:rsidR="00AA5394" w:rsidRPr="002667B2">
        <w:rPr>
          <w:rFonts w:ascii="Avenir Next" w:hAnsi="Avenir Next"/>
          <w:i/>
          <w:sz w:val="24"/>
          <w:szCs w:val="24"/>
        </w:rPr>
        <w:t xml:space="preserve">D. nishinomiyaensis </w:t>
      </w:r>
      <w:r w:rsidR="00AA5394" w:rsidRPr="002667B2">
        <w:rPr>
          <w:rFonts w:ascii="Avenir Next" w:hAnsi="Avenir Next"/>
          <w:sz w:val="24"/>
          <w:szCs w:val="24"/>
        </w:rPr>
        <w:t xml:space="preserve">no es reconocido como un patógeno humano </w:t>
      </w:r>
      <w:r>
        <w:rPr>
          <w:rFonts w:ascii="Avenir Next" w:hAnsi="Avenir Next"/>
          <w:sz w:val="24"/>
          <w:szCs w:val="24"/>
        </w:rPr>
        <w:t>relevante</w:t>
      </w:r>
      <w:r w:rsidR="00AA5394" w:rsidRPr="002667B2">
        <w:rPr>
          <w:rFonts w:ascii="Avenir Next" w:hAnsi="Avenir Next"/>
          <w:sz w:val="24"/>
          <w:szCs w:val="24"/>
        </w:rPr>
        <w:t xml:space="preserve"> o una bacteria productora de enzimas extracelulares, sin embargo, se ha relacionado con algunos casos de enfermedad intrahospitalaria asociados con el uso prolongado de catéteres (Joron </w:t>
      </w:r>
      <w:r w:rsidR="00AA5394" w:rsidRPr="002667B2">
        <w:rPr>
          <w:rFonts w:ascii="Avenir Next" w:hAnsi="Avenir Next"/>
          <w:iCs/>
          <w:sz w:val="24"/>
          <w:szCs w:val="24"/>
        </w:rPr>
        <w:t>et al.,</w:t>
      </w:r>
      <w:r w:rsidR="00AA5394" w:rsidRPr="002667B2">
        <w:rPr>
          <w:rFonts w:ascii="Avenir Next" w:hAnsi="Avenir Next"/>
          <w:sz w:val="24"/>
          <w:szCs w:val="24"/>
        </w:rPr>
        <w:t xml:space="preserve"> 2019). Todo lo anterior indica que </w:t>
      </w:r>
      <w:r w:rsidR="00AA5394" w:rsidRPr="002667B2">
        <w:rPr>
          <w:rFonts w:ascii="Avenir Next" w:hAnsi="Avenir Next"/>
          <w:i/>
          <w:sz w:val="24"/>
          <w:szCs w:val="24"/>
        </w:rPr>
        <w:t xml:space="preserve">D. nishinomiyaensis </w:t>
      </w:r>
      <w:r w:rsidR="00AA5394" w:rsidRPr="002667B2">
        <w:rPr>
          <w:rFonts w:ascii="Avenir Next" w:hAnsi="Avenir Next"/>
          <w:sz w:val="24"/>
          <w:szCs w:val="24"/>
        </w:rPr>
        <w:t xml:space="preserve">podría poseer una capacidad </w:t>
      </w:r>
      <w:r>
        <w:rPr>
          <w:rFonts w:ascii="Avenir Next" w:hAnsi="Avenir Next"/>
          <w:sz w:val="24"/>
          <w:szCs w:val="24"/>
        </w:rPr>
        <w:t xml:space="preserve">crucial </w:t>
      </w:r>
      <w:r w:rsidR="00AA5394" w:rsidRPr="002667B2">
        <w:rPr>
          <w:rFonts w:ascii="Avenir Next" w:hAnsi="Avenir Next"/>
          <w:sz w:val="24"/>
          <w:szCs w:val="24"/>
        </w:rPr>
        <w:t xml:space="preserve">para formar biopelículas que favorecen el proceso de colonización de superficies inanimadas como las obras pictóricas; también, la </w:t>
      </w:r>
      <w:r w:rsidR="00AA5394" w:rsidRPr="005C135E">
        <w:rPr>
          <w:rFonts w:ascii="Avenir Next" w:hAnsi="Avenir Next"/>
          <w:sz w:val="24"/>
          <w:szCs w:val="24"/>
        </w:rPr>
        <w:t>presencia de esta bacteria</w:t>
      </w:r>
      <w:r w:rsidR="00AA5394" w:rsidRPr="002667B2">
        <w:rPr>
          <w:rFonts w:ascii="Avenir Next" w:hAnsi="Avenir Next"/>
          <w:sz w:val="24"/>
          <w:szCs w:val="24"/>
        </w:rPr>
        <w:t xml:space="preserve"> sugiere que la contaminación microbiana de las pinturas podría tener su origen en las personas que</w:t>
      </w:r>
      <w:r>
        <w:rPr>
          <w:rFonts w:ascii="Avenir Next" w:hAnsi="Avenir Next"/>
          <w:sz w:val="24"/>
          <w:szCs w:val="24"/>
        </w:rPr>
        <w:t xml:space="preserve"> las</w:t>
      </w:r>
      <w:r w:rsidR="00AA5394" w:rsidRPr="002667B2">
        <w:rPr>
          <w:rFonts w:ascii="Avenir Next" w:hAnsi="Avenir Next"/>
          <w:sz w:val="24"/>
          <w:szCs w:val="24"/>
        </w:rPr>
        <w:t xml:space="preserve"> manipulan. Sin embargo, es necesario realizar estudios adicionales para establecer el momento y el medio en el </w:t>
      </w:r>
      <w:r w:rsidR="00AA5394" w:rsidRPr="002850FE">
        <w:rPr>
          <w:rFonts w:ascii="Avenir Next" w:hAnsi="Avenir Next"/>
          <w:sz w:val="24"/>
          <w:szCs w:val="24"/>
        </w:rPr>
        <w:t xml:space="preserve">que </w:t>
      </w:r>
      <w:r w:rsidRPr="002850FE">
        <w:rPr>
          <w:rFonts w:ascii="Avenir Next" w:hAnsi="Avenir Next"/>
          <w:sz w:val="24"/>
          <w:szCs w:val="24"/>
        </w:rPr>
        <w:t>la</w:t>
      </w:r>
      <w:r w:rsidR="00AA5394" w:rsidRPr="002850FE">
        <w:rPr>
          <w:rFonts w:ascii="Avenir Next" w:hAnsi="Avenir Next"/>
          <w:sz w:val="24"/>
          <w:szCs w:val="24"/>
        </w:rPr>
        <w:t xml:space="preserve"> contaminación sucedió</w:t>
      </w:r>
      <w:r w:rsidR="00AA5394" w:rsidRPr="002667B2">
        <w:rPr>
          <w:rFonts w:ascii="Avenir Next" w:hAnsi="Avenir Next"/>
          <w:sz w:val="24"/>
          <w:szCs w:val="24"/>
        </w:rPr>
        <w:t xml:space="preserve">. Al igual que en el caso anterior, queda pendiente el determinar si </w:t>
      </w:r>
      <w:r w:rsidR="00AA5394" w:rsidRPr="002667B2">
        <w:rPr>
          <w:rFonts w:ascii="Avenir Next" w:hAnsi="Avenir Next"/>
          <w:i/>
          <w:sz w:val="24"/>
          <w:szCs w:val="24"/>
        </w:rPr>
        <w:t xml:space="preserve">D. nishinomiyaensis </w:t>
      </w:r>
      <w:r w:rsidR="00AA5394" w:rsidRPr="002667B2">
        <w:rPr>
          <w:rFonts w:ascii="Avenir Next" w:hAnsi="Avenir Next"/>
          <w:sz w:val="24"/>
          <w:szCs w:val="24"/>
        </w:rPr>
        <w:t xml:space="preserve">puede generar un efecto </w:t>
      </w:r>
      <w:r w:rsidR="00AA5394" w:rsidRPr="005C135E">
        <w:rPr>
          <w:rFonts w:ascii="Avenir Next" w:hAnsi="Avenir Next"/>
          <w:sz w:val="24"/>
          <w:szCs w:val="24"/>
        </w:rPr>
        <w:t>degradativo sobre las acuarelas.</w:t>
      </w:r>
      <w:r w:rsidR="00AA5394" w:rsidRPr="002667B2">
        <w:rPr>
          <w:rFonts w:ascii="Avenir Next" w:hAnsi="Avenir Next"/>
          <w:sz w:val="24"/>
          <w:szCs w:val="24"/>
        </w:rPr>
        <w:t xml:space="preserve"> </w:t>
      </w:r>
    </w:p>
    <w:p w14:paraId="5D7B7016"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Por otro lado, los hongos son microorganismos ubicuos que se dispersan a través del aire mediante la producción de esporas anamórficas y/o teleomórficas (Salas-Campos et al., 2010). Una vez colonizado el nuevo nicho, se alimentan por medio de la liberación de enzimas hidrolíticas, facilitando así la absorción de nutrientes. Es por esto q</w:t>
      </w:r>
      <w:r w:rsidRPr="002667B2">
        <w:rPr>
          <w:rFonts w:ascii="Avenir Next" w:hAnsi="Avenir Next"/>
          <w:color w:val="1A1A1A"/>
          <w:sz w:val="24"/>
          <w:szCs w:val="24"/>
        </w:rPr>
        <w:t xml:space="preserve">ue poseen la capacidad de colonizar distintos sustratos como el papel, penetrando en la matriz de microfibras o creciendo </w:t>
      </w:r>
      <w:r w:rsidRPr="002667B2">
        <w:rPr>
          <w:rFonts w:ascii="Avenir Next" w:hAnsi="Avenir Next"/>
          <w:color w:val="1A1A1A"/>
          <w:sz w:val="24"/>
          <w:szCs w:val="24"/>
        </w:rPr>
        <w:lastRenderedPageBreak/>
        <w:t xml:space="preserve">superficialmente (Mallo </w:t>
      </w:r>
      <w:r w:rsidRPr="002667B2">
        <w:rPr>
          <w:rFonts w:ascii="Avenir Next" w:hAnsi="Avenir Next"/>
          <w:iCs/>
          <w:color w:val="1A1A1A"/>
          <w:sz w:val="24"/>
          <w:szCs w:val="24"/>
        </w:rPr>
        <w:t>et al.,</w:t>
      </w:r>
      <w:r w:rsidRPr="002667B2">
        <w:rPr>
          <w:rFonts w:ascii="Avenir Next" w:hAnsi="Avenir Next"/>
          <w:color w:val="1A1A1A"/>
          <w:sz w:val="24"/>
          <w:szCs w:val="24"/>
        </w:rPr>
        <w:t xml:space="preserve"> 2017). </w:t>
      </w:r>
      <w:r w:rsidRPr="002667B2">
        <w:rPr>
          <w:rFonts w:ascii="Avenir Next" w:hAnsi="Avenir Next"/>
          <w:sz w:val="24"/>
          <w:szCs w:val="24"/>
        </w:rPr>
        <w:t xml:space="preserve">Los objetos de arte elaborados con fibras de celulosa pueden ser colonizados por hongos celulolíticos, como </w:t>
      </w:r>
      <w:r w:rsidRPr="002667B2">
        <w:rPr>
          <w:rFonts w:ascii="Avenir Next" w:hAnsi="Avenir Next"/>
          <w:i/>
          <w:sz w:val="24"/>
          <w:szCs w:val="24"/>
        </w:rPr>
        <w:t>Aspergillus</w:t>
      </w:r>
      <w:r w:rsidRPr="002667B2">
        <w:rPr>
          <w:rFonts w:ascii="Avenir Next" w:hAnsi="Avenir Next"/>
          <w:sz w:val="24"/>
          <w:szCs w:val="24"/>
        </w:rPr>
        <w:t xml:space="preserve"> y </w:t>
      </w:r>
      <w:r w:rsidRPr="002667B2">
        <w:rPr>
          <w:rFonts w:ascii="Avenir Next" w:hAnsi="Avenir Next"/>
          <w:i/>
          <w:sz w:val="24"/>
          <w:szCs w:val="24"/>
        </w:rPr>
        <w:t xml:space="preserve">Cladosporium </w:t>
      </w:r>
      <w:r w:rsidRPr="002667B2">
        <w:rPr>
          <w:rFonts w:ascii="Avenir Next" w:hAnsi="Avenir Next"/>
          <w:sz w:val="24"/>
          <w:szCs w:val="24"/>
        </w:rPr>
        <w:t xml:space="preserve">(hongos identificados en esta investigación), que son capaces de degradar las fibras de celulosa a través del proceso de celulosis (Sivaramanan, 2014; Romero </w:t>
      </w:r>
      <w:r w:rsidRPr="002667B2">
        <w:rPr>
          <w:rFonts w:ascii="Avenir Next" w:hAnsi="Avenir Next"/>
          <w:iCs/>
          <w:sz w:val="24"/>
          <w:szCs w:val="24"/>
        </w:rPr>
        <w:t>et al.,</w:t>
      </w:r>
      <w:r w:rsidRPr="002667B2">
        <w:rPr>
          <w:rFonts w:ascii="Avenir Next" w:hAnsi="Avenir Next"/>
          <w:sz w:val="24"/>
          <w:szCs w:val="24"/>
        </w:rPr>
        <w:t xml:space="preserve"> 2021; Savković </w:t>
      </w:r>
      <w:r w:rsidRPr="002667B2">
        <w:rPr>
          <w:rFonts w:ascii="Avenir Next" w:hAnsi="Avenir Next"/>
          <w:iCs/>
          <w:sz w:val="24"/>
          <w:szCs w:val="24"/>
        </w:rPr>
        <w:t>et al.,</w:t>
      </w:r>
      <w:r w:rsidRPr="002667B2">
        <w:rPr>
          <w:rFonts w:ascii="Avenir Next" w:hAnsi="Avenir Next"/>
          <w:sz w:val="24"/>
          <w:szCs w:val="24"/>
        </w:rPr>
        <w:t xml:space="preserve"> 2021). </w:t>
      </w:r>
      <w:r w:rsidRPr="002667B2">
        <w:rPr>
          <w:rFonts w:ascii="Avenir Next" w:hAnsi="Avenir Next"/>
          <w:i/>
          <w:sz w:val="24"/>
          <w:szCs w:val="24"/>
        </w:rPr>
        <w:t xml:space="preserve">Cladosporium </w:t>
      </w:r>
      <w:r w:rsidRPr="002667B2">
        <w:rPr>
          <w:rFonts w:ascii="Avenir Next" w:hAnsi="Avenir Next"/>
          <w:sz w:val="24"/>
          <w:szCs w:val="24"/>
        </w:rPr>
        <w:t xml:space="preserve">también ha sido aislado de varios tipos de materiales, incluidas pinturas en óleo, acuarela y acrílico expuestas en lugares aclimatados (Douglas </w:t>
      </w:r>
      <w:r w:rsidRPr="002667B2">
        <w:rPr>
          <w:rFonts w:ascii="Avenir Next" w:hAnsi="Avenir Next"/>
          <w:iCs/>
          <w:sz w:val="24"/>
          <w:szCs w:val="24"/>
        </w:rPr>
        <w:t>et al.,</w:t>
      </w:r>
      <w:r w:rsidRPr="002667B2">
        <w:rPr>
          <w:rFonts w:ascii="Avenir Next" w:hAnsi="Avenir Next"/>
          <w:sz w:val="24"/>
          <w:szCs w:val="24"/>
        </w:rPr>
        <w:t xml:space="preserve"> 2021, Vieto </w:t>
      </w:r>
      <w:r w:rsidRPr="002667B2">
        <w:rPr>
          <w:rFonts w:ascii="Avenir Next" w:hAnsi="Avenir Next"/>
          <w:iCs/>
          <w:sz w:val="24"/>
          <w:szCs w:val="24"/>
        </w:rPr>
        <w:t>et al.,</w:t>
      </w:r>
      <w:r w:rsidRPr="002667B2">
        <w:rPr>
          <w:rFonts w:ascii="Avenir Next" w:hAnsi="Avenir Next"/>
          <w:sz w:val="24"/>
          <w:szCs w:val="24"/>
        </w:rPr>
        <w:t xml:space="preserve"> 2021</w:t>
      </w:r>
      <w:r w:rsidRPr="005C135E">
        <w:rPr>
          <w:rFonts w:ascii="Avenir Next" w:hAnsi="Avenir Next"/>
          <w:sz w:val="24"/>
          <w:szCs w:val="24"/>
        </w:rPr>
        <w:t xml:space="preserve">). </w:t>
      </w:r>
      <w:r w:rsidR="00355A4A" w:rsidRPr="005C135E">
        <w:rPr>
          <w:rFonts w:ascii="Avenir Next" w:hAnsi="Avenir Next"/>
          <w:sz w:val="24"/>
          <w:szCs w:val="24"/>
        </w:rPr>
        <w:t>L</w:t>
      </w:r>
      <w:r w:rsidRPr="005C135E">
        <w:rPr>
          <w:rFonts w:ascii="Avenir Next" w:hAnsi="Avenir Next"/>
          <w:sz w:val="24"/>
          <w:szCs w:val="24"/>
        </w:rPr>
        <w:t>a humedad relativa y la temperatura de un clima tropical como el de Costa Rica aceleran los procesos biológicos</w:t>
      </w:r>
      <w:r w:rsidR="00355A4A" w:rsidRPr="005C135E">
        <w:rPr>
          <w:rFonts w:ascii="Avenir Next" w:hAnsi="Avenir Next"/>
          <w:sz w:val="24"/>
          <w:szCs w:val="24"/>
        </w:rPr>
        <w:t xml:space="preserve">, favoreciendo el crecimiento de hongos que </w:t>
      </w:r>
      <w:r w:rsidRPr="005C135E">
        <w:rPr>
          <w:rFonts w:ascii="Avenir Next" w:hAnsi="Avenir Next"/>
          <w:sz w:val="24"/>
          <w:szCs w:val="24"/>
        </w:rPr>
        <w:t>podría</w:t>
      </w:r>
      <w:r w:rsidR="00355A4A" w:rsidRPr="005C135E">
        <w:rPr>
          <w:rFonts w:ascii="Avenir Next" w:hAnsi="Avenir Next"/>
          <w:sz w:val="24"/>
          <w:szCs w:val="24"/>
        </w:rPr>
        <w:t>n</w:t>
      </w:r>
      <w:r w:rsidRPr="005C135E">
        <w:rPr>
          <w:rFonts w:ascii="Avenir Next" w:hAnsi="Avenir Next"/>
          <w:sz w:val="24"/>
          <w:szCs w:val="24"/>
        </w:rPr>
        <w:t xml:space="preserve"> comprome</w:t>
      </w:r>
      <w:r w:rsidRPr="002667B2">
        <w:rPr>
          <w:rFonts w:ascii="Avenir Next" w:hAnsi="Avenir Next"/>
          <w:sz w:val="24"/>
          <w:szCs w:val="24"/>
        </w:rPr>
        <w:t xml:space="preserve">ter la apreciación estética de la obra de arte y su estructura (Zhang </w:t>
      </w:r>
      <w:r w:rsidRPr="002667B2">
        <w:rPr>
          <w:rFonts w:ascii="Avenir Next" w:hAnsi="Avenir Next"/>
          <w:iCs/>
          <w:sz w:val="24"/>
          <w:szCs w:val="24"/>
        </w:rPr>
        <w:t>et al.,</w:t>
      </w:r>
      <w:r w:rsidRPr="002667B2">
        <w:rPr>
          <w:rFonts w:ascii="Avenir Next" w:hAnsi="Avenir Next"/>
          <w:sz w:val="24"/>
          <w:szCs w:val="24"/>
        </w:rPr>
        <w:t xml:space="preserve"> 2019).</w:t>
      </w:r>
    </w:p>
    <w:p w14:paraId="6387D9F3" w14:textId="77777777" w:rsidR="00144113" w:rsidRPr="002667B2" w:rsidRDefault="00AA5394">
      <w:pPr>
        <w:spacing w:after="200" w:line="240" w:lineRule="auto"/>
        <w:jc w:val="both"/>
        <w:rPr>
          <w:rFonts w:ascii="Avenir Next" w:hAnsi="Avenir Next"/>
          <w:sz w:val="24"/>
          <w:szCs w:val="24"/>
        </w:rPr>
      </w:pPr>
      <w:r w:rsidRPr="002667B2">
        <w:rPr>
          <w:rFonts w:ascii="Avenir Next" w:hAnsi="Avenir Next"/>
          <w:sz w:val="24"/>
          <w:szCs w:val="24"/>
        </w:rPr>
        <w:t xml:space="preserve">Es </w:t>
      </w:r>
      <w:r w:rsidR="00396D3B">
        <w:rPr>
          <w:rFonts w:ascii="Avenir Next" w:hAnsi="Avenir Next"/>
          <w:sz w:val="24"/>
          <w:szCs w:val="24"/>
        </w:rPr>
        <w:t xml:space="preserve">sustancial </w:t>
      </w:r>
      <w:r w:rsidRPr="002667B2">
        <w:rPr>
          <w:rFonts w:ascii="Avenir Next" w:hAnsi="Avenir Next"/>
          <w:sz w:val="24"/>
          <w:szCs w:val="24"/>
        </w:rPr>
        <w:t xml:space="preserve">resaltar que los principales géneros fúngicos encontrados en el aire de centros educativos de las provincias de Heredia y San José (en nuestro país) fueron </w:t>
      </w:r>
      <w:r w:rsidRPr="002667B2">
        <w:rPr>
          <w:rFonts w:ascii="Avenir Next" w:hAnsi="Avenir Next"/>
          <w:i/>
          <w:sz w:val="24"/>
          <w:szCs w:val="24"/>
        </w:rPr>
        <w:t>Cladosporium</w:t>
      </w:r>
      <w:r w:rsidRPr="002667B2">
        <w:rPr>
          <w:rFonts w:ascii="Avenir Next" w:hAnsi="Avenir Next"/>
          <w:sz w:val="24"/>
          <w:szCs w:val="24"/>
        </w:rPr>
        <w:t xml:space="preserve">, </w:t>
      </w:r>
      <w:r w:rsidRPr="002667B2">
        <w:rPr>
          <w:rFonts w:ascii="Avenir Next" w:hAnsi="Avenir Next"/>
          <w:i/>
          <w:sz w:val="24"/>
          <w:szCs w:val="24"/>
        </w:rPr>
        <w:t xml:space="preserve">Aspergillus </w:t>
      </w:r>
      <w:r w:rsidRPr="002667B2">
        <w:rPr>
          <w:rFonts w:ascii="Avenir Next" w:hAnsi="Avenir Next"/>
          <w:sz w:val="24"/>
          <w:szCs w:val="24"/>
        </w:rPr>
        <w:t xml:space="preserve">y </w:t>
      </w:r>
      <w:r w:rsidRPr="002667B2">
        <w:rPr>
          <w:rFonts w:ascii="Avenir Next" w:hAnsi="Avenir Next"/>
          <w:i/>
          <w:sz w:val="24"/>
          <w:szCs w:val="24"/>
        </w:rPr>
        <w:t xml:space="preserve">Penicillium </w:t>
      </w:r>
      <w:r w:rsidRPr="002667B2">
        <w:rPr>
          <w:rFonts w:ascii="Avenir Next" w:hAnsi="Avenir Next"/>
          <w:sz w:val="24"/>
          <w:szCs w:val="24"/>
        </w:rPr>
        <w:t>(Jaikel-Víquez et al. 2015; Brizuela-</w:t>
      </w:r>
      <w:r w:rsidR="003F63D4" w:rsidRPr="002667B2">
        <w:rPr>
          <w:rFonts w:ascii="Avenir Next" w:hAnsi="Avenir Next"/>
          <w:sz w:val="24"/>
          <w:szCs w:val="24"/>
        </w:rPr>
        <w:t>Hernández</w:t>
      </w:r>
      <w:r w:rsidRPr="002667B2">
        <w:rPr>
          <w:rFonts w:ascii="Avenir Next" w:hAnsi="Avenir Next"/>
          <w:sz w:val="24"/>
          <w:szCs w:val="24"/>
        </w:rPr>
        <w:t xml:space="preserve"> et al., 2019); situación que también ha sido reportada en otros países (Cooley et al., 1998)</w:t>
      </w:r>
      <w:r w:rsidRPr="002667B2">
        <w:rPr>
          <w:rFonts w:ascii="Avenir Next" w:hAnsi="Avenir Next"/>
          <w:i/>
          <w:sz w:val="24"/>
          <w:szCs w:val="24"/>
        </w:rPr>
        <w:t xml:space="preserve">. </w:t>
      </w:r>
      <w:r w:rsidRPr="005C135E">
        <w:rPr>
          <w:rFonts w:ascii="Avenir Next" w:hAnsi="Avenir Next"/>
          <w:sz w:val="24"/>
          <w:szCs w:val="24"/>
        </w:rPr>
        <w:t>Estos géneros han sido asociados con reacciones alérgicas como el asma bronquial y el síndrome del edificio enfermo (</w:t>
      </w:r>
      <w:r w:rsidRPr="005C135E">
        <w:rPr>
          <w:rFonts w:ascii="Avenir Next" w:hAnsi="Avenir Next"/>
          <w:i/>
          <w:sz w:val="24"/>
          <w:szCs w:val="24"/>
        </w:rPr>
        <w:t>Sick Building Syndrome</w:t>
      </w:r>
      <w:r w:rsidRPr="005C135E">
        <w:rPr>
          <w:rFonts w:ascii="Avenir Next" w:hAnsi="Avenir Next"/>
          <w:sz w:val="24"/>
          <w:szCs w:val="24"/>
        </w:rPr>
        <w:t xml:space="preserve">) (Cooley et al., 1998; Joshi, 2008; Jaikel-Víquez y Riggioni-Cordero, 2012) y son agentes etiológicos de micosis superficiales como la onicomicosis (Tosti </w:t>
      </w:r>
      <w:r w:rsidRPr="005C135E">
        <w:rPr>
          <w:rFonts w:ascii="Avenir Next" w:hAnsi="Avenir Next"/>
          <w:iCs/>
          <w:sz w:val="24"/>
          <w:szCs w:val="24"/>
        </w:rPr>
        <w:t>et al.,</w:t>
      </w:r>
      <w:r w:rsidRPr="005C135E">
        <w:rPr>
          <w:rFonts w:ascii="Avenir Next" w:hAnsi="Avenir Next"/>
          <w:sz w:val="24"/>
          <w:szCs w:val="24"/>
        </w:rPr>
        <w:t xml:space="preserve"> 2000; </w:t>
      </w:r>
      <w:r w:rsidRPr="005C135E">
        <w:rPr>
          <w:rFonts w:ascii="Avenir Next" w:hAnsi="Avenir Next"/>
          <w:color w:val="1A1A1A"/>
          <w:sz w:val="24"/>
          <w:szCs w:val="24"/>
        </w:rPr>
        <w:t xml:space="preserve">Ramírez-Hobak </w:t>
      </w:r>
      <w:r w:rsidRPr="005C135E">
        <w:rPr>
          <w:rFonts w:ascii="Avenir Next" w:hAnsi="Avenir Next"/>
          <w:iCs/>
          <w:color w:val="1A1A1A"/>
          <w:sz w:val="24"/>
          <w:szCs w:val="24"/>
        </w:rPr>
        <w:t>et al.,</w:t>
      </w:r>
      <w:r w:rsidRPr="005C135E">
        <w:rPr>
          <w:rFonts w:ascii="Avenir Next" w:hAnsi="Avenir Next"/>
          <w:color w:val="1A1A1A"/>
          <w:sz w:val="24"/>
          <w:szCs w:val="24"/>
        </w:rPr>
        <w:t xml:space="preserve"> 2017) y sistémicas (Kousha</w:t>
      </w:r>
      <w:r w:rsidRPr="005C135E">
        <w:rPr>
          <w:rFonts w:ascii="Avenir Next" w:hAnsi="Avenir Next"/>
          <w:i/>
          <w:color w:val="1A1A1A"/>
          <w:sz w:val="24"/>
          <w:szCs w:val="24"/>
        </w:rPr>
        <w:t xml:space="preserve"> </w:t>
      </w:r>
      <w:r w:rsidRPr="005C135E">
        <w:rPr>
          <w:rFonts w:ascii="Avenir Next" w:hAnsi="Avenir Next"/>
          <w:iCs/>
          <w:color w:val="1A1A1A"/>
          <w:sz w:val="24"/>
          <w:szCs w:val="24"/>
        </w:rPr>
        <w:t>et al.,</w:t>
      </w:r>
      <w:r w:rsidRPr="005C135E">
        <w:rPr>
          <w:rFonts w:ascii="Avenir Next" w:hAnsi="Avenir Next"/>
          <w:color w:val="1A1A1A"/>
          <w:sz w:val="24"/>
          <w:szCs w:val="24"/>
        </w:rPr>
        <w:t xml:space="preserve"> 2011; Chen et al., 2013; Sandoval-Denis et al., 2016). </w:t>
      </w:r>
      <w:r w:rsidR="00355A4A" w:rsidRPr="005C135E">
        <w:rPr>
          <w:rFonts w:ascii="Avenir Next" w:hAnsi="Avenir Next"/>
          <w:sz w:val="24"/>
          <w:szCs w:val="24"/>
        </w:rPr>
        <w:t>Por lo tanto</w:t>
      </w:r>
      <w:r w:rsidRPr="005C135E">
        <w:rPr>
          <w:rFonts w:ascii="Avenir Next" w:hAnsi="Avenir Next"/>
          <w:sz w:val="24"/>
          <w:szCs w:val="24"/>
        </w:rPr>
        <w:t>, la identificación te</w:t>
      </w:r>
      <w:r w:rsidRPr="002667B2">
        <w:rPr>
          <w:rFonts w:ascii="Avenir Next" w:hAnsi="Avenir Next"/>
          <w:sz w:val="24"/>
          <w:szCs w:val="24"/>
        </w:rPr>
        <w:t>mprana de posibles áreas de biodeterioro en las pinturas, con herramientas computacionales</w:t>
      </w:r>
      <w:r w:rsidR="005C135E">
        <w:rPr>
          <w:rFonts w:ascii="Avenir Next" w:hAnsi="Avenir Next"/>
          <w:sz w:val="24"/>
          <w:szCs w:val="24"/>
        </w:rPr>
        <w:t xml:space="preserve"> </w:t>
      </w:r>
      <w:r w:rsidRPr="002667B2">
        <w:rPr>
          <w:rFonts w:ascii="Avenir Next" w:hAnsi="Avenir Next"/>
          <w:sz w:val="24"/>
          <w:szCs w:val="24"/>
        </w:rPr>
        <w:t>acopladas a MSI, y el constante monitoreo aerobiológico de las habitaciones donde son guardadas, exhibidas o manipuladas, representa una gran ventaja para la preservación de las obras, ya que la proliferación de hongos a menudo solo se observa una vez que ha causado un deterioro significativo</w:t>
      </w:r>
      <w:r w:rsidR="00396D3B">
        <w:rPr>
          <w:rFonts w:ascii="Avenir Next" w:hAnsi="Avenir Next"/>
          <w:sz w:val="24"/>
          <w:szCs w:val="24"/>
        </w:rPr>
        <w:t xml:space="preserve"> en el objeto en estudio.</w:t>
      </w:r>
    </w:p>
    <w:p w14:paraId="6DC136EF"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t>Conclusiones</w:t>
      </w:r>
    </w:p>
    <w:p w14:paraId="2865721A" w14:textId="77777777" w:rsidR="00144113" w:rsidRPr="002667B2" w:rsidRDefault="00AA5394">
      <w:pPr>
        <w:spacing w:before="200" w:line="240" w:lineRule="auto"/>
        <w:jc w:val="both"/>
        <w:rPr>
          <w:rFonts w:ascii="Avenir Next" w:hAnsi="Avenir Next"/>
          <w:sz w:val="24"/>
          <w:szCs w:val="24"/>
        </w:rPr>
      </w:pPr>
      <w:r w:rsidRPr="00515BEA">
        <w:rPr>
          <w:rFonts w:ascii="Avenir Next" w:hAnsi="Avenir Next"/>
          <w:sz w:val="24"/>
          <w:szCs w:val="24"/>
        </w:rPr>
        <w:t>E</w:t>
      </w:r>
      <w:r w:rsidR="00515BEA" w:rsidRPr="00515BEA">
        <w:rPr>
          <w:rFonts w:ascii="Avenir Next" w:hAnsi="Avenir Next"/>
          <w:sz w:val="24"/>
          <w:szCs w:val="24"/>
        </w:rPr>
        <w:t>l</w:t>
      </w:r>
      <w:r w:rsidRPr="00515BEA">
        <w:rPr>
          <w:rFonts w:ascii="Avenir Next" w:hAnsi="Avenir Next"/>
          <w:sz w:val="24"/>
          <w:szCs w:val="24"/>
        </w:rPr>
        <w:t xml:space="preserve"> estudio</w:t>
      </w:r>
      <w:r w:rsidRPr="002667B2">
        <w:rPr>
          <w:rFonts w:ascii="Avenir Next" w:hAnsi="Avenir Next"/>
          <w:sz w:val="24"/>
          <w:szCs w:val="24"/>
        </w:rPr>
        <w:t xml:space="preserve"> tuvo como objetivo proporcionar un diagnóstico base del estado de conservación de las obras </w:t>
      </w:r>
      <w:r w:rsidRPr="002667B2">
        <w:rPr>
          <w:rFonts w:ascii="Avenir Next" w:hAnsi="Avenir Next"/>
          <w:i/>
          <w:sz w:val="24"/>
          <w:szCs w:val="24"/>
        </w:rPr>
        <w:t>Paisaje con casa campesina</w:t>
      </w:r>
      <w:r w:rsidRPr="002667B2">
        <w:rPr>
          <w:rFonts w:ascii="Avenir Next" w:hAnsi="Avenir Next"/>
          <w:sz w:val="24"/>
          <w:szCs w:val="24"/>
        </w:rPr>
        <w:t xml:space="preserve"> y </w:t>
      </w:r>
      <w:r w:rsidRPr="002667B2">
        <w:rPr>
          <w:rFonts w:ascii="Avenir Next" w:hAnsi="Avenir Next"/>
          <w:i/>
          <w:sz w:val="24"/>
          <w:szCs w:val="24"/>
        </w:rPr>
        <w:t>El puente</w:t>
      </w:r>
      <w:r w:rsidRPr="002667B2">
        <w:rPr>
          <w:rFonts w:ascii="Avenir Next" w:hAnsi="Avenir Next"/>
          <w:sz w:val="24"/>
          <w:szCs w:val="24"/>
        </w:rPr>
        <w:t xml:space="preserve"> atribuidas al artista Fausto Pacheco por medio de metodología de análisis múltiple. El uso de herramientas computacionales tales como </w:t>
      </w:r>
      <w:r w:rsidRPr="00806C05">
        <w:rPr>
          <w:rFonts w:ascii="Avenir Next" w:hAnsi="Avenir Next"/>
          <w:iCs/>
          <w:sz w:val="24"/>
          <w:szCs w:val="24"/>
        </w:rPr>
        <w:t>RegionsOfInterest y Golden Artists Colors,</w:t>
      </w:r>
      <w:r w:rsidRPr="002667B2">
        <w:rPr>
          <w:rFonts w:ascii="Avenir Next" w:hAnsi="Avenir Next"/>
          <w:sz w:val="24"/>
          <w:szCs w:val="24"/>
        </w:rPr>
        <w:t xml:space="preserve"> permitió identificar áreas de interés particular para análisis microbiológicos. Así como la evaluación de la paleta de colores para futuros estudios con XRF, todo mediante un </w:t>
      </w:r>
      <w:r w:rsidRPr="005C135E">
        <w:rPr>
          <w:rFonts w:ascii="Avenir Next" w:hAnsi="Avenir Next"/>
          <w:sz w:val="24"/>
          <w:szCs w:val="24"/>
        </w:rPr>
        <w:t>muestreo mínimamente</w:t>
      </w:r>
      <w:r w:rsidRPr="002667B2">
        <w:rPr>
          <w:rFonts w:ascii="Avenir Next" w:hAnsi="Avenir Next"/>
          <w:sz w:val="24"/>
          <w:szCs w:val="24"/>
        </w:rPr>
        <w:t xml:space="preserve"> invasivo. Se descubrió que para la obra </w:t>
      </w:r>
      <w:r w:rsidRPr="002667B2">
        <w:rPr>
          <w:rFonts w:ascii="Avenir Next" w:hAnsi="Avenir Next"/>
          <w:i/>
          <w:sz w:val="24"/>
          <w:szCs w:val="24"/>
        </w:rPr>
        <w:t>Paisaje con casa campesina</w:t>
      </w:r>
      <w:r w:rsidRPr="002667B2">
        <w:rPr>
          <w:rFonts w:ascii="Avenir Next" w:hAnsi="Avenir Next"/>
          <w:sz w:val="24"/>
          <w:szCs w:val="24"/>
        </w:rPr>
        <w:t xml:space="preserve"> fue posible identificar los colores que representan </w:t>
      </w:r>
      <w:r w:rsidR="00515BEA">
        <w:rPr>
          <w:rFonts w:ascii="Avenir Next" w:hAnsi="Avenir Next"/>
          <w:sz w:val="24"/>
          <w:szCs w:val="24"/>
        </w:rPr>
        <w:t>alrededor</w:t>
      </w:r>
      <w:r w:rsidRPr="002667B2">
        <w:rPr>
          <w:rFonts w:ascii="Avenir Next" w:hAnsi="Avenir Next"/>
          <w:sz w:val="24"/>
          <w:szCs w:val="24"/>
        </w:rPr>
        <w:t xml:space="preserve"> </w:t>
      </w:r>
      <w:r w:rsidR="00515BEA">
        <w:rPr>
          <w:rFonts w:ascii="Avenir Next" w:hAnsi="Avenir Next"/>
          <w:sz w:val="24"/>
          <w:szCs w:val="24"/>
        </w:rPr>
        <w:t>d</w:t>
      </w:r>
      <w:r w:rsidRPr="002667B2">
        <w:rPr>
          <w:rFonts w:ascii="Avenir Next" w:hAnsi="Avenir Next"/>
          <w:sz w:val="24"/>
          <w:szCs w:val="24"/>
        </w:rPr>
        <w:t xml:space="preserve">el 70% de la obra, en </w:t>
      </w:r>
      <w:r w:rsidRPr="002667B2">
        <w:rPr>
          <w:rFonts w:ascii="Avenir Next" w:hAnsi="Avenir Next"/>
          <w:i/>
          <w:sz w:val="24"/>
          <w:szCs w:val="24"/>
        </w:rPr>
        <w:t>El puente</w:t>
      </w:r>
      <w:r w:rsidRPr="002667B2">
        <w:rPr>
          <w:rFonts w:ascii="Avenir Next" w:hAnsi="Avenir Next"/>
          <w:sz w:val="24"/>
          <w:szCs w:val="24"/>
        </w:rPr>
        <w:t xml:space="preserve"> se identificó un 60%. Para ambos casos, los colores mayoritarios correspondieron al azul y al verde.</w:t>
      </w:r>
    </w:p>
    <w:p w14:paraId="56D70BE9" w14:textId="7208701D" w:rsidR="00144113" w:rsidRPr="002667B2" w:rsidRDefault="00515BEA">
      <w:pPr>
        <w:spacing w:before="200" w:line="240" w:lineRule="auto"/>
        <w:jc w:val="both"/>
        <w:rPr>
          <w:rFonts w:ascii="Avenir Next" w:hAnsi="Avenir Next"/>
          <w:sz w:val="24"/>
          <w:szCs w:val="24"/>
        </w:rPr>
      </w:pPr>
      <w:r>
        <w:rPr>
          <w:rFonts w:ascii="Avenir Next" w:hAnsi="Avenir Next"/>
          <w:sz w:val="24"/>
          <w:szCs w:val="24"/>
        </w:rPr>
        <w:t>Asimismo,</w:t>
      </w:r>
      <w:r w:rsidR="00AA5394" w:rsidRPr="002667B2">
        <w:rPr>
          <w:rFonts w:ascii="Avenir Next" w:hAnsi="Avenir Next"/>
          <w:sz w:val="24"/>
          <w:szCs w:val="24"/>
        </w:rPr>
        <w:t xml:space="preserve"> con la herramienta </w:t>
      </w:r>
      <w:r w:rsidR="00AA5394" w:rsidRPr="00806C05">
        <w:rPr>
          <w:rFonts w:ascii="Avenir Next" w:hAnsi="Avenir Next"/>
          <w:iCs/>
          <w:sz w:val="24"/>
          <w:szCs w:val="24"/>
        </w:rPr>
        <w:t xml:space="preserve">RegionsOfInterest </w:t>
      </w:r>
      <w:r w:rsidR="00AA5394" w:rsidRPr="002667B2">
        <w:rPr>
          <w:rFonts w:ascii="Avenir Next" w:hAnsi="Avenir Next"/>
          <w:sz w:val="24"/>
          <w:szCs w:val="24"/>
        </w:rPr>
        <w:t xml:space="preserve">y MSI fue posible </w:t>
      </w:r>
      <w:r w:rsidR="00806C05">
        <w:rPr>
          <w:rFonts w:ascii="Avenir Next" w:hAnsi="Avenir Next"/>
          <w:sz w:val="24"/>
          <w:szCs w:val="24"/>
        </w:rPr>
        <w:t>reconocer</w:t>
      </w:r>
      <w:r w:rsidR="00AA5394" w:rsidRPr="002667B2">
        <w:rPr>
          <w:rFonts w:ascii="Avenir Next" w:hAnsi="Avenir Next"/>
          <w:sz w:val="24"/>
          <w:szCs w:val="24"/>
        </w:rPr>
        <w:t xml:space="preserve"> zonas con comportamientos visuales atípicos que permitieron identificar </w:t>
      </w:r>
      <w:r>
        <w:rPr>
          <w:rFonts w:ascii="Avenir Next" w:hAnsi="Avenir Next"/>
          <w:sz w:val="24"/>
          <w:szCs w:val="24"/>
        </w:rPr>
        <w:t>crecimiento microbiano</w:t>
      </w:r>
      <w:r w:rsidR="00AA5394" w:rsidRPr="002667B2">
        <w:rPr>
          <w:rFonts w:ascii="Avenir Next" w:hAnsi="Avenir Next"/>
          <w:sz w:val="24"/>
          <w:szCs w:val="24"/>
        </w:rPr>
        <w:t xml:space="preserve"> que podría estar afectando las obras. Los datos confirman que obras pictóricas tipo acuarelas ofrecen sustrato para el establecimiento de microorganismos ambientales o asociados con la microbiota del ser humano. El hecho de que la presencia de algunos de </w:t>
      </w:r>
      <w:r w:rsidRPr="00515BEA">
        <w:rPr>
          <w:rFonts w:ascii="Avenir Next" w:hAnsi="Avenir Next"/>
          <w:sz w:val="24"/>
          <w:szCs w:val="24"/>
        </w:rPr>
        <w:t>los</w:t>
      </w:r>
      <w:r w:rsidR="00AA5394" w:rsidRPr="00515BEA">
        <w:rPr>
          <w:rFonts w:ascii="Avenir Next" w:hAnsi="Avenir Next"/>
          <w:sz w:val="24"/>
          <w:szCs w:val="24"/>
        </w:rPr>
        <w:t xml:space="preserve"> microorganismos</w:t>
      </w:r>
      <w:r w:rsidR="00AA5394" w:rsidRPr="002667B2">
        <w:rPr>
          <w:rFonts w:ascii="Avenir Next" w:hAnsi="Avenir Next"/>
          <w:sz w:val="24"/>
          <w:szCs w:val="24"/>
        </w:rPr>
        <w:t xml:space="preserve"> podría asociarse con cambios en las pinturas, indica que eventuales medidas de control preventivas son necesarias. Los microorganismos presentes poseen como característica distintiva el poder establecerse con facilidad en superficies inanimadas gracias a su capacidad de sobrevivir en ambientes de baja actividad de agua o por su capacidad de formar esporas.  </w:t>
      </w:r>
    </w:p>
    <w:p w14:paraId="12F0D9E4" w14:textId="5F832853" w:rsidR="00144113" w:rsidRPr="002667B2" w:rsidRDefault="00AA5394">
      <w:pPr>
        <w:spacing w:before="200" w:after="200" w:line="240" w:lineRule="auto"/>
        <w:jc w:val="both"/>
        <w:rPr>
          <w:rFonts w:ascii="Avenir Next" w:hAnsi="Avenir Next"/>
          <w:sz w:val="24"/>
          <w:szCs w:val="24"/>
        </w:rPr>
      </w:pPr>
      <w:r w:rsidRPr="002667B2">
        <w:rPr>
          <w:rFonts w:ascii="Avenir Next" w:hAnsi="Avenir Next"/>
          <w:sz w:val="24"/>
          <w:szCs w:val="24"/>
        </w:rPr>
        <w:t xml:space="preserve">La información obtenida y </w:t>
      </w:r>
      <w:r w:rsidR="00324A37">
        <w:rPr>
          <w:rFonts w:ascii="Avenir Next" w:hAnsi="Avenir Next"/>
          <w:sz w:val="24"/>
          <w:szCs w:val="24"/>
        </w:rPr>
        <w:t xml:space="preserve">la </w:t>
      </w:r>
      <w:r w:rsidRPr="002667B2">
        <w:rPr>
          <w:rFonts w:ascii="Avenir Next" w:hAnsi="Avenir Next"/>
          <w:sz w:val="24"/>
          <w:szCs w:val="24"/>
        </w:rPr>
        <w:t xml:space="preserve">metodología aplicada ayudarán a establecer un procedimiento base de conservación adecuado y autenticación de las obras en acuarela atribuidas al artista Fausto </w:t>
      </w:r>
      <w:r w:rsidRPr="002667B2">
        <w:rPr>
          <w:rFonts w:ascii="Avenir Next" w:hAnsi="Avenir Next"/>
          <w:sz w:val="24"/>
          <w:szCs w:val="24"/>
        </w:rPr>
        <w:lastRenderedPageBreak/>
        <w:t xml:space="preserve">Pacheco. También representa la base para estudiar otras obras de la colección y comparar la composición de los pigmentos y la técnica utilizada por </w:t>
      </w:r>
      <w:r w:rsidR="007D21FB">
        <w:rPr>
          <w:rFonts w:ascii="Avenir Next" w:hAnsi="Avenir Next"/>
          <w:sz w:val="24"/>
          <w:szCs w:val="24"/>
        </w:rPr>
        <w:t>Fausto Pacheco</w:t>
      </w:r>
      <w:r w:rsidRPr="002667B2">
        <w:rPr>
          <w:rFonts w:ascii="Avenir Next" w:hAnsi="Avenir Next"/>
          <w:sz w:val="24"/>
          <w:szCs w:val="24"/>
        </w:rPr>
        <w:t xml:space="preserve">. </w:t>
      </w:r>
    </w:p>
    <w:p w14:paraId="3CE3B70D"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t>Agradecimientos</w:t>
      </w:r>
    </w:p>
    <w:p w14:paraId="06F2428C" w14:textId="77777777" w:rsidR="00144113" w:rsidRPr="002667B2" w:rsidRDefault="00AA5394">
      <w:pPr>
        <w:spacing w:before="200" w:after="200" w:line="240" w:lineRule="auto"/>
        <w:jc w:val="both"/>
        <w:rPr>
          <w:rFonts w:ascii="Avenir Next" w:hAnsi="Avenir Next"/>
          <w:sz w:val="24"/>
          <w:szCs w:val="24"/>
        </w:rPr>
      </w:pPr>
      <w:r w:rsidRPr="002667B2">
        <w:rPr>
          <w:rFonts w:ascii="Avenir Next" w:hAnsi="Avenir Next"/>
          <w:sz w:val="24"/>
          <w:szCs w:val="24"/>
        </w:rPr>
        <w:t>El presente trabajo se llevó a cabo gracias al apoyo de todo el personal del Museo del Banco Central de Costa Rica. Nos gustaría agradecer la participación de Mariana Viales Leandro de la Escuela de Artes Plásticas de la Universidad de Costa Rica por la colaboración con la realización de la Figura 1 y todas las otras figuras. Gracias a Esteban Hernández Arce de la Escuela de Lenguas Modernas de la Universidad de Costa Rica por la colaboración en la traducción del resumen y del título de</w:t>
      </w:r>
      <w:r w:rsidR="00AD0ED7">
        <w:rPr>
          <w:rFonts w:ascii="Avenir Next" w:hAnsi="Avenir Next"/>
          <w:sz w:val="24"/>
          <w:szCs w:val="24"/>
        </w:rPr>
        <w:t>l</w:t>
      </w:r>
      <w:r w:rsidRPr="00AD0ED7">
        <w:rPr>
          <w:rFonts w:ascii="Avenir Next" w:hAnsi="Avenir Next"/>
          <w:sz w:val="24"/>
          <w:szCs w:val="24"/>
        </w:rPr>
        <w:t xml:space="preserve"> trabajo.</w:t>
      </w:r>
      <w:r w:rsidRPr="002667B2">
        <w:rPr>
          <w:rFonts w:ascii="Avenir Next" w:hAnsi="Avenir Next"/>
          <w:sz w:val="24"/>
          <w:szCs w:val="24"/>
        </w:rPr>
        <w:t xml:space="preserve"> También </w:t>
      </w:r>
      <w:r w:rsidRPr="00AD0ED7">
        <w:rPr>
          <w:rFonts w:ascii="Avenir Next" w:hAnsi="Avenir Next"/>
          <w:sz w:val="24"/>
          <w:szCs w:val="24"/>
        </w:rPr>
        <w:t>quer</w:t>
      </w:r>
      <w:r w:rsidRPr="005C135E">
        <w:rPr>
          <w:rFonts w:ascii="Avenir Next" w:hAnsi="Avenir Next"/>
          <w:sz w:val="24"/>
          <w:szCs w:val="24"/>
        </w:rPr>
        <w:t xml:space="preserve">emos </w:t>
      </w:r>
      <w:r w:rsidR="00AD0ED7">
        <w:rPr>
          <w:rFonts w:ascii="Avenir Next" w:hAnsi="Avenir Next"/>
          <w:sz w:val="24"/>
          <w:szCs w:val="24"/>
        </w:rPr>
        <w:t>reconocer</w:t>
      </w:r>
      <w:r w:rsidRPr="002667B2">
        <w:rPr>
          <w:rFonts w:ascii="Avenir Next" w:hAnsi="Avenir Next"/>
          <w:sz w:val="24"/>
          <w:szCs w:val="24"/>
        </w:rPr>
        <w:t xml:space="preserve"> la participación de Katherine Acuña Umaña de la Escuela de Física de la Universidad de Costa Rica por toda su ayuda en el montaje del aparato experimental y la adquisición de fotografías en el Museo. </w:t>
      </w:r>
      <w:r w:rsidR="00AD0ED7">
        <w:rPr>
          <w:rFonts w:ascii="Avenir Next" w:hAnsi="Avenir Next"/>
          <w:sz w:val="24"/>
          <w:szCs w:val="24"/>
        </w:rPr>
        <w:t xml:space="preserve">Por último, </w:t>
      </w:r>
      <w:r w:rsidRPr="002667B2">
        <w:rPr>
          <w:rFonts w:ascii="Avenir Next" w:hAnsi="Avenir Next"/>
          <w:sz w:val="24"/>
          <w:szCs w:val="24"/>
        </w:rPr>
        <w:t xml:space="preserve">nos </w:t>
      </w:r>
      <w:r w:rsidRPr="00AD0ED7">
        <w:rPr>
          <w:rFonts w:ascii="Avenir Next" w:hAnsi="Avenir Next"/>
          <w:sz w:val="24"/>
          <w:szCs w:val="24"/>
        </w:rPr>
        <w:t xml:space="preserve">gustaría </w:t>
      </w:r>
      <w:r w:rsidR="00AD0ED7">
        <w:rPr>
          <w:rFonts w:ascii="Avenir Next" w:hAnsi="Avenir Next"/>
          <w:sz w:val="24"/>
          <w:szCs w:val="24"/>
        </w:rPr>
        <w:t>dar las gracias</w:t>
      </w:r>
      <w:r w:rsidRPr="002667B2">
        <w:rPr>
          <w:rFonts w:ascii="Avenir Next" w:hAnsi="Avenir Next"/>
          <w:sz w:val="24"/>
          <w:szCs w:val="24"/>
        </w:rPr>
        <w:t xml:space="preserve"> a la Vicerrectoría de Investigación de la Universidad de Costa Rica por todo el apoyo para llevar a </w:t>
      </w:r>
      <w:r w:rsidRPr="00AD0ED7">
        <w:rPr>
          <w:rFonts w:ascii="Avenir Next" w:hAnsi="Avenir Next"/>
          <w:sz w:val="24"/>
          <w:szCs w:val="24"/>
        </w:rPr>
        <w:t xml:space="preserve">cabo </w:t>
      </w:r>
      <w:r w:rsidR="00AD0ED7" w:rsidRPr="00AD0ED7">
        <w:rPr>
          <w:rFonts w:ascii="Avenir Next" w:hAnsi="Avenir Next"/>
          <w:sz w:val="24"/>
          <w:szCs w:val="24"/>
        </w:rPr>
        <w:t>la</w:t>
      </w:r>
      <w:r w:rsidRPr="00AD0ED7">
        <w:rPr>
          <w:rFonts w:ascii="Avenir Next" w:hAnsi="Avenir Next"/>
          <w:sz w:val="24"/>
          <w:szCs w:val="24"/>
        </w:rPr>
        <w:t xml:space="preserve"> investigación.</w:t>
      </w:r>
      <w:r w:rsidRPr="002667B2">
        <w:rPr>
          <w:rFonts w:ascii="Avenir Next" w:hAnsi="Avenir Next"/>
          <w:sz w:val="24"/>
          <w:szCs w:val="24"/>
        </w:rPr>
        <w:t xml:space="preserve"> </w:t>
      </w:r>
    </w:p>
    <w:p w14:paraId="16EF99A7" w14:textId="77777777" w:rsidR="00144113" w:rsidRPr="002667B2" w:rsidRDefault="00AA5394">
      <w:pPr>
        <w:spacing w:after="200" w:line="240" w:lineRule="auto"/>
        <w:jc w:val="both"/>
        <w:rPr>
          <w:rFonts w:ascii="Avenir Next" w:hAnsi="Avenir Next"/>
          <w:b/>
          <w:sz w:val="24"/>
          <w:szCs w:val="24"/>
        </w:rPr>
      </w:pPr>
      <w:r w:rsidRPr="002667B2">
        <w:rPr>
          <w:rFonts w:ascii="Avenir Next" w:hAnsi="Avenir Next"/>
          <w:b/>
          <w:sz w:val="24"/>
          <w:szCs w:val="24"/>
        </w:rPr>
        <w:t>Referencias</w:t>
      </w:r>
    </w:p>
    <w:p w14:paraId="00E65644"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rPr>
        <w:t xml:space="preserve">Acke, L., De Vis, K., Verwulgen, S. y Verlinden, J. (2021). </w:t>
      </w:r>
      <w:r w:rsidRPr="002667B2">
        <w:rPr>
          <w:rFonts w:ascii="Avenir Next" w:hAnsi="Avenir Next"/>
          <w:sz w:val="24"/>
          <w:szCs w:val="24"/>
          <w:lang w:val="en-US"/>
        </w:rPr>
        <w:t xml:space="preserve">Survey and literature study to provide insights on the application of 3D technologies in objects conservation and restoration. </w:t>
      </w:r>
      <w:r w:rsidRPr="002667B2">
        <w:rPr>
          <w:rFonts w:ascii="Avenir Next" w:hAnsi="Avenir Next"/>
          <w:i/>
          <w:sz w:val="24"/>
          <w:szCs w:val="24"/>
          <w:lang w:val="en-US"/>
        </w:rPr>
        <w:t>Journal of Cultural Heritage</w:t>
      </w:r>
      <w:r w:rsidRPr="002667B2">
        <w:rPr>
          <w:rFonts w:ascii="Avenir Next" w:hAnsi="Avenir Next"/>
          <w:sz w:val="24"/>
          <w:szCs w:val="24"/>
          <w:lang w:val="en-US"/>
        </w:rPr>
        <w:t xml:space="preserve">, </w:t>
      </w:r>
      <w:r w:rsidRPr="002667B2">
        <w:rPr>
          <w:rFonts w:ascii="Avenir Next" w:hAnsi="Avenir Next"/>
          <w:i/>
          <w:sz w:val="24"/>
          <w:szCs w:val="24"/>
          <w:lang w:val="en-US"/>
        </w:rPr>
        <w:t>49</w:t>
      </w:r>
      <w:r w:rsidRPr="002667B2">
        <w:rPr>
          <w:rFonts w:ascii="Avenir Next" w:hAnsi="Avenir Next"/>
          <w:sz w:val="24"/>
          <w:szCs w:val="24"/>
          <w:lang w:val="en-US"/>
        </w:rPr>
        <w:t xml:space="preserve">, 272-288. </w:t>
      </w:r>
      <w:hyperlink r:id="rId23">
        <w:r w:rsidRPr="002667B2">
          <w:rPr>
            <w:rFonts w:ascii="Avenir Next" w:hAnsi="Avenir Next"/>
            <w:color w:val="1155CC"/>
            <w:sz w:val="24"/>
            <w:szCs w:val="24"/>
            <w:u w:val="single"/>
            <w:lang w:val="en-US"/>
          </w:rPr>
          <w:t>https://doi.org/10.1016/j.culher.2020.12.003</w:t>
        </w:r>
      </w:hyperlink>
    </w:p>
    <w:p w14:paraId="1F8823D4" w14:textId="30C4CA73" w:rsidR="002A6A69" w:rsidRPr="002667B2" w:rsidRDefault="002A6A69" w:rsidP="00D92F0A">
      <w:pPr>
        <w:spacing w:after="200" w:line="480" w:lineRule="auto"/>
        <w:ind w:left="567" w:hanging="567"/>
        <w:jc w:val="both"/>
        <w:rPr>
          <w:rFonts w:ascii="Avenir Next" w:hAnsi="Avenir Next"/>
          <w:sz w:val="24"/>
          <w:szCs w:val="24"/>
        </w:rPr>
      </w:pPr>
      <w:r w:rsidRPr="00410D4F">
        <w:rPr>
          <w:rFonts w:ascii="Avenir Next" w:hAnsi="Avenir Next"/>
          <w:sz w:val="24"/>
          <w:szCs w:val="24"/>
          <w:lang w:val="en-US"/>
        </w:rPr>
        <w:t>Alvarado Venegas, I. y Guardia, M.</w:t>
      </w:r>
      <w:r w:rsidR="00D92F0A" w:rsidRPr="00410D4F">
        <w:rPr>
          <w:rFonts w:ascii="Avenir Next" w:hAnsi="Avenir Next"/>
          <w:sz w:val="24"/>
          <w:szCs w:val="24"/>
          <w:lang w:val="en-US"/>
        </w:rPr>
        <w:t xml:space="preserve"> </w:t>
      </w:r>
      <w:r w:rsidRPr="00410D4F">
        <w:rPr>
          <w:rFonts w:ascii="Avenir Next" w:hAnsi="Avenir Next"/>
          <w:sz w:val="24"/>
          <w:szCs w:val="24"/>
          <w:lang w:val="en-US"/>
        </w:rPr>
        <w:t xml:space="preserve">E. (2005). </w:t>
      </w:r>
      <w:r w:rsidRPr="00F10287">
        <w:rPr>
          <w:rFonts w:ascii="Avenir Next" w:hAnsi="Avenir Next"/>
          <w:i/>
          <w:iCs/>
          <w:sz w:val="24"/>
          <w:szCs w:val="24"/>
        </w:rPr>
        <w:t xml:space="preserve">Agua, color y permanencia: historia de la acuarela en Costa </w:t>
      </w:r>
      <w:r w:rsidR="00F10287" w:rsidRPr="00F10287">
        <w:rPr>
          <w:rFonts w:ascii="Avenir Next" w:hAnsi="Avenir Next"/>
          <w:i/>
          <w:iCs/>
          <w:sz w:val="24"/>
          <w:szCs w:val="24"/>
        </w:rPr>
        <w:t>R</w:t>
      </w:r>
      <w:r w:rsidRPr="00F10287">
        <w:rPr>
          <w:rFonts w:ascii="Avenir Next" w:hAnsi="Avenir Next"/>
          <w:i/>
          <w:iCs/>
          <w:sz w:val="24"/>
          <w:szCs w:val="24"/>
        </w:rPr>
        <w:t>ica.</w:t>
      </w:r>
      <w:r w:rsidRPr="002667B2">
        <w:rPr>
          <w:rFonts w:ascii="Avenir Next" w:hAnsi="Avenir Next"/>
          <w:sz w:val="24"/>
          <w:szCs w:val="24"/>
        </w:rPr>
        <w:t xml:space="preserve"> Fundación Museos del Banco Central de Costa Rica. </w:t>
      </w:r>
    </w:p>
    <w:p w14:paraId="44D34D8A" w14:textId="77777777"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lang w:val="es-ES"/>
        </w:rPr>
        <w:t xml:space="preserve">Arnheim, R. (1998). </w:t>
      </w:r>
      <w:r w:rsidRPr="002667B2">
        <w:rPr>
          <w:rFonts w:ascii="Avenir Next" w:hAnsi="Avenir Next"/>
          <w:sz w:val="24"/>
          <w:szCs w:val="24"/>
          <w:lang w:val="en-US"/>
        </w:rPr>
        <w:t xml:space="preserve">The expression and composition of color. </w:t>
      </w:r>
      <w:r w:rsidRPr="002667B2">
        <w:rPr>
          <w:rFonts w:ascii="Avenir Next" w:hAnsi="Avenir Next"/>
          <w:i/>
          <w:sz w:val="24"/>
          <w:szCs w:val="24"/>
          <w:lang w:val="en-US"/>
        </w:rPr>
        <w:t>The Journal of Aesthetics and Art Criticism</w:t>
      </w:r>
      <w:r w:rsidRPr="002667B2">
        <w:rPr>
          <w:rFonts w:ascii="Avenir Next" w:hAnsi="Avenir Next"/>
          <w:sz w:val="24"/>
          <w:szCs w:val="24"/>
          <w:lang w:val="en-US"/>
        </w:rPr>
        <w:t xml:space="preserve">, </w:t>
      </w:r>
      <w:r w:rsidRPr="002667B2">
        <w:rPr>
          <w:rFonts w:ascii="Avenir Next" w:hAnsi="Avenir Next"/>
          <w:i/>
          <w:sz w:val="24"/>
          <w:szCs w:val="24"/>
          <w:lang w:val="en-US"/>
        </w:rPr>
        <w:t>56</w:t>
      </w:r>
      <w:r w:rsidRPr="002667B2">
        <w:rPr>
          <w:rFonts w:ascii="Avenir Next" w:hAnsi="Avenir Next"/>
          <w:sz w:val="24"/>
          <w:szCs w:val="24"/>
          <w:lang w:val="en-US"/>
        </w:rPr>
        <w:t xml:space="preserve">(4), 349–352. </w:t>
      </w:r>
      <w:hyperlink r:id="rId24">
        <w:r w:rsidRPr="002667B2">
          <w:rPr>
            <w:rFonts w:ascii="Avenir Next" w:hAnsi="Avenir Next"/>
            <w:color w:val="1155CC"/>
            <w:sz w:val="24"/>
            <w:szCs w:val="24"/>
            <w:u w:val="single"/>
          </w:rPr>
          <w:t>https://doi.org/10.1111/1540_6245.jaac56.4.0349</w:t>
        </w:r>
      </w:hyperlink>
    </w:p>
    <w:p w14:paraId="79527E15" w14:textId="77777777" w:rsidR="002A6A69" w:rsidRPr="00410D4F"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 xml:space="preserve">Barni, M., Pelagotti, A. y Piva, A. (2005). </w:t>
      </w:r>
      <w:r w:rsidRPr="002667B2">
        <w:rPr>
          <w:rFonts w:ascii="Avenir Next" w:hAnsi="Avenir Next"/>
          <w:sz w:val="24"/>
          <w:szCs w:val="24"/>
          <w:lang w:val="en-US"/>
        </w:rPr>
        <w:t xml:space="preserve">Image processing for the analysis and conservation of paintings: opportunities and challenges. </w:t>
      </w:r>
      <w:r w:rsidRPr="00410D4F">
        <w:rPr>
          <w:rFonts w:ascii="Avenir Next" w:hAnsi="Avenir Next"/>
          <w:i/>
          <w:sz w:val="24"/>
          <w:szCs w:val="24"/>
        </w:rPr>
        <w:t>IEEE Signal Processing Magazine</w:t>
      </w:r>
      <w:r w:rsidRPr="00410D4F">
        <w:rPr>
          <w:rFonts w:ascii="Avenir Next" w:hAnsi="Avenir Next"/>
          <w:sz w:val="24"/>
          <w:szCs w:val="24"/>
        </w:rPr>
        <w:t xml:space="preserve">, </w:t>
      </w:r>
      <w:r w:rsidRPr="00410D4F">
        <w:rPr>
          <w:rFonts w:ascii="Avenir Next" w:hAnsi="Avenir Next"/>
          <w:i/>
          <w:sz w:val="24"/>
          <w:szCs w:val="24"/>
        </w:rPr>
        <w:t>22</w:t>
      </w:r>
      <w:r w:rsidRPr="00410D4F">
        <w:rPr>
          <w:rFonts w:ascii="Avenir Next" w:hAnsi="Avenir Next"/>
          <w:sz w:val="24"/>
          <w:szCs w:val="24"/>
        </w:rPr>
        <w:t xml:space="preserve">(5), 141-144. </w:t>
      </w:r>
      <w:hyperlink r:id="rId25">
        <w:r w:rsidRPr="00410D4F">
          <w:rPr>
            <w:rFonts w:ascii="Avenir Next" w:hAnsi="Avenir Next"/>
            <w:color w:val="1155CC"/>
            <w:sz w:val="24"/>
            <w:szCs w:val="24"/>
            <w:u w:val="single"/>
          </w:rPr>
          <w:t>https://doi.org/10.1109/MSP.2005.1511835</w:t>
        </w:r>
      </w:hyperlink>
    </w:p>
    <w:p w14:paraId="6CBBF725" w14:textId="1A7EC521" w:rsidR="002A6A69" w:rsidRPr="002667B2" w:rsidRDefault="002A6A69" w:rsidP="00D92F0A">
      <w:pPr>
        <w:spacing w:after="200" w:line="480" w:lineRule="auto"/>
        <w:ind w:left="567" w:hanging="567"/>
        <w:jc w:val="both"/>
        <w:rPr>
          <w:rFonts w:ascii="Avenir Next" w:hAnsi="Avenir Next"/>
          <w:sz w:val="24"/>
          <w:szCs w:val="24"/>
        </w:rPr>
      </w:pPr>
      <w:r w:rsidRPr="00D92F0A">
        <w:rPr>
          <w:rFonts w:ascii="Avenir Next" w:hAnsi="Avenir Next"/>
          <w:sz w:val="24"/>
          <w:szCs w:val="24"/>
        </w:rPr>
        <w:t>Barrantes-Madrigal, M.</w:t>
      </w:r>
      <w:r w:rsidR="00D92F0A" w:rsidRPr="00D92F0A">
        <w:rPr>
          <w:rFonts w:ascii="Avenir Next" w:hAnsi="Avenir Next"/>
          <w:sz w:val="24"/>
          <w:szCs w:val="24"/>
        </w:rPr>
        <w:t xml:space="preserve"> </w:t>
      </w:r>
      <w:r w:rsidRPr="00D92F0A">
        <w:rPr>
          <w:rFonts w:ascii="Avenir Next" w:hAnsi="Avenir Next"/>
          <w:sz w:val="24"/>
          <w:szCs w:val="24"/>
        </w:rPr>
        <w:t>D., Zúñiga-Salas, T., Arce-Tucker, R.</w:t>
      </w:r>
      <w:r w:rsidR="00D92F0A">
        <w:rPr>
          <w:rFonts w:ascii="Avenir Next" w:hAnsi="Avenir Next"/>
          <w:sz w:val="24"/>
          <w:szCs w:val="24"/>
        </w:rPr>
        <w:t xml:space="preserve"> </w:t>
      </w:r>
      <w:r w:rsidRPr="00D92F0A">
        <w:rPr>
          <w:rFonts w:ascii="Avenir Next" w:hAnsi="Avenir Next"/>
          <w:sz w:val="24"/>
          <w:szCs w:val="24"/>
        </w:rPr>
        <w:t>R., Chavarría-Sibaja, A., Sánchez-Solís, J., Mena-Vega, J., Acuña-Umaña, K., Gómez-Tencio, M., Wang-Qiu, K., Lizano-Sánchez, F., Marín-Cruz, C. y Herrera-Sancho, O.</w:t>
      </w:r>
      <w:r w:rsidR="00862C88">
        <w:rPr>
          <w:rFonts w:ascii="Avenir Next" w:hAnsi="Avenir Next"/>
          <w:sz w:val="24"/>
          <w:szCs w:val="24"/>
        </w:rPr>
        <w:t xml:space="preserve"> </w:t>
      </w:r>
      <w:r w:rsidRPr="00D92F0A">
        <w:rPr>
          <w:rFonts w:ascii="Avenir Next" w:hAnsi="Avenir Next"/>
          <w:sz w:val="24"/>
          <w:szCs w:val="24"/>
        </w:rPr>
        <w:t xml:space="preserve">A. (2021). </w:t>
      </w:r>
      <w:r w:rsidRPr="002667B2">
        <w:rPr>
          <w:rFonts w:ascii="Avenir Next" w:hAnsi="Avenir Next"/>
          <w:sz w:val="24"/>
          <w:szCs w:val="24"/>
          <w:lang w:val="en-US"/>
        </w:rPr>
        <w:t xml:space="preserve">Revealing time’s secrets at the National </w:t>
      </w:r>
      <w:r w:rsidRPr="002667B2">
        <w:rPr>
          <w:rFonts w:ascii="Avenir Next" w:hAnsi="Avenir Next"/>
          <w:sz w:val="24"/>
          <w:szCs w:val="24"/>
          <w:lang w:val="en-US"/>
        </w:rPr>
        <w:lastRenderedPageBreak/>
        <w:t xml:space="preserve">Theatre of Costa Rica via innovative software for cultural heritage research. </w:t>
      </w:r>
      <w:r w:rsidRPr="002667B2">
        <w:rPr>
          <w:rFonts w:ascii="Avenir Next" w:hAnsi="Avenir Next"/>
          <w:i/>
          <w:sz w:val="24"/>
          <w:szCs w:val="24"/>
        </w:rPr>
        <w:t>Scientific Reports</w:t>
      </w:r>
      <w:r w:rsidRPr="002667B2">
        <w:rPr>
          <w:rFonts w:ascii="Avenir Next" w:hAnsi="Avenir Next"/>
          <w:sz w:val="24"/>
          <w:szCs w:val="24"/>
        </w:rPr>
        <w:t xml:space="preserve">, </w:t>
      </w:r>
      <w:r w:rsidRPr="002667B2">
        <w:rPr>
          <w:rFonts w:ascii="Avenir Next" w:hAnsi="Avenir Next"/>
          <w:i/>
          <w:sz w:val="24"/>
          <w:szCs w:val="24"/>
        </w:rPr>
        <w:t>11</w:t>
      </w:r>
      <w:r w:rsidRPr="002667B2">
        <w:rPr>
          <w:rFonts w:ascii="Avenir Next" w:hAnsi="Avenir Next"/>
          <w:sz w:val="24"/>
          <w:szCs w:val="24"/>
        </w:rPr>
        <w:t xml:space="preserve">(8560), 1-16. </w:t>
      </w:r>
      <w:hyperlink r:id="rId26">
        <w:r w:rsidRPr="002667B2">
          <w:rPr>
            <w:rFonts w:ascii="Avenir Next" w:hAnsi="Avenir Next"/>
            <w:color w:val="1155CC"/>
            <w:sz w:val="24"/>
            <w:szCs w:val="24"/>
            <w:u w:val="single"/>
          </w:rPr>
          <w:t>https://doi.org/10.1038/s41598-021-88066-1</w:t>
        </w:r>
      </w:hyperlink>
    </w:p>
    <w:p w14:paraId="020528AD" w14:textId="77777777"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 xml:space="preserve">Barrenechea Ulloa, R. (1975). </w:t>
      </w:r>
      <w:r w:rsidRPr="00F10287">
        <w:rPr>
          <w:rFonts w:ascii="Avenir Next" w:hAnsi="Avenir Next"/>
          <w:i/>
          <w:iCs/>
          <w:sz w:val="24"/>
          <w:szCs w:val="24"/>
        </w:rPr>
        <w:t>Pintores de Costa Rica.</w:t>
      </w:r>
      <w:r w:rsidRPr="002667B2">
        <w:rPr>
          <w:rFonts w:ascii="Avenir Next" w:hAnsi="Avenir Next"/>
          <w:sz w:val="24"/>
          <w:szCs w:val="24"/>
        </w:rPr>
        <w:t xml:space="preserve"> San José: Editorial Costa Rica.</w:t>
      </w:r>
    </w:p>
    <w:p w14:paraId="1AF62D6C" w14:textId="0C5D4FCB"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Barrionuevo, F. y Guardia, M.</w:t>
      </w:r>
      <w:r w:rsidR="00862C88">
        <w:rPr>
          <w:rFonts w:ascii="Avenir Next" w:hAnsi="Avenir Next"/>
          <w:sz w:val="24"/>
          <w:szCs w:val="24"/>
        </w:rPr>
        <w:t xml:space="preserve"> </w:t>
      </w:r>
      <w:r w:rsidRPr="002667B2">
        <w:rPr>
          <w:rFonts w:ascii="Avenir Next" w:hAnsi="Avenir Next"/>
          <w:sz w:val="24"/>
          <w:szCs w:val="24"/>
        </w:rPr>
        <w:t>E. (2003</w:t>
      </w:r>
      <w:r w:rsidR="009A72C0">
        <w:rPr>
          <w:rFonts w:ascii="Avenir Next" w:hAnsi="Avenir Next"/>
          <w:sz w:val="24"/>
          <w:szCs w:val="24"/>
        </w:rPr>
        <w:t>a</w:t>
      </w:r>
      <w:r w:rsidRPr="002667B2">
        <w:rPr>
          <w:rFonts w:ascii="Avenir Next" w:hAnsi="Avenir Next"/>
          <w:sz w:val="24"/>
          <w:szCs w:val="24"/>
        </w:rPr>
        <w:t xml:space="preserve">). </w:t>
      </w:r>
      <w:r w:rsidRPr="00F10287">
        <w:rPr>
          <w:rFonts w:ascii="Avenir Next" w:hAnsi="Avenir Next"/>
          <w:i/>
          <w:iCs/>
          <w:sz w:val="24"/>
          <w:szCs w:val="24"/>
        </w:rPr>
        <w:t>Fausto Pacheco.</w:t>
      </w:r>
      <w:r w:rsidRPr="002667B2">
        <w:rPr>
          <w:rFonts w:ascii="Avenir Next" w:hAnsi="Avenir Next"/>
          <w:sz w:val="24"/>
          <w:szCs w:val="24"/>
        </w:rPr>
        <w:t xml:space="preserve"> Editorial de la Universidad de Costa Rica. </w:t>
      </w:r>
    </w:p>
    <w:p w14:paraId="71394108" w14:textId="72CAD930"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Barrionuevo, F. y Guardia, M.</w:t>
      </w:r>
      <w:r w:rsidR="00862C88">
        <w:rPr>
          <w:rFonts w:ascii="Avenir Next" w:hAnsi="Avenir Next"/>
          <w:sz w:val="24"/>
          <w:szCs w:val="24"/>
        </w:rPr>
        <w:t xml:space="preserve"> </w:t>
      </w:r>
      <w:r w:rsidRPr="002667B2">
        <w:rPr>
          <w:rFonts w:ascii="Avenir Next" w:hAnsi="Avenir Next"/>
          <w:sz w:val="24"/>
          <w:szCs w:val="24"/>
        </w:rPr>
        <w:t>E. (2003</w:t>
      </w:r>
      <w:r w:rsidR="009A72C0">
        <w:rPr>
          <w:rFonts w:ascii="Avenir Next" w:hAnsi="Avenir Next"/>
          <w:sz w:val="24"/>
          <w:szCs w:val="24"/>
        </w:rPr>
        <w:t>b</w:t>
      </w:r>
      <w:r w:rsidRPr="002667B2">
        <w:rPr>
          <w:rFonts w:ascii="Avenir Next" w:hAnsi="Avenir Next"/>
          <w:sz w:val="24"/>
          <w:szCs w:val="24"/>
        </w:rPr>
        <w:t xml:space="preserve">). </w:t>
      </w:r>
      <w:r w:rsidRPr="00F10287">
        <w:rPr>
          <w:rFonts w:ascii="Avenir Next" w:hAnsi="Avenir Next"/>
          <w:i/>
          <w:iCs/>
          <w:sz w:val="24"/>
          <w:szCs w:val="24"/>
        </w:rPr>
        <w:t>La pintura de paisaje en Costa Rica.</w:t>
      </w:r>
      <w:r w:rsidRPr="002667B2">
        <w:rPr>
          <w:rFonts w:ascii="Avenir Next" w:hAnsi="Avenir Next"/>
          <w:sz w:val="24"/>
          <w:szCs w:val="24"/>
        </w:rPr>
        <w:t xml:space="preserve"> Editorial de la Universidad de Costa Rica.</w:t>
      </w:r>
    </w:p>
    <w:p w14:paraId="3C80B49C" w14:textId="210837F8"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rPr>
        <w:t xml:space="preserve">Berrie, B., Casadio, F., Dahm, K., Strumfels, Y., Tedeschi, M. y Walsh, J. (2014). </w:t>
      </w:r>
      <w:r w:rsidRPr="002667B2">
        <w:rPr>
          <w:rFonts w:ascii="Avenir Next" w:hAnsi="Avenir Next"/>
          <w:sz w:val="24"/>
          <w:szCs w:val="24"/>
          <w:lang w:val="en-US"/>
        </w:rPr>
        <w:t xml:space="preserve">A Vibrant Surface: Investigating Color, Texture and Transparency in Winslow Homer’s Watercolors. </w:t>
      </w:r>
      <w:r w:rsidR="00090851">
        <w:rPr>
          <w:rFonts w:ascii="Avenir Next" w:hAnsi="Avenir Next"/>
          <w:sz w:val="24"/>
          <w:szCs w:val="24"/>
          <w:lang w:val="en-US"/>
        </w:rPr>
        <w:t>En</w:t>
      </w:r>
      <w:r w:rsidRPr="002667B2">
        <w:rPr>
          <w:rFonts w:ascii="Avenir Next" w:hAnsi="Avenir Next"/>
          <w:sz w:val="24"/>
          <w:szCs w:val="24"/>
          <w:lang w:val="en-US"/>
        </w:rPr>
        <w:t xml:space="preserve"> </w:t>
      </w:r>
      <w:r w:rsidRPr="002667B2">
        <w:rPr>
          <w:rFonts w:ascii="Avenir Next" w:hAnsi="Avenir Next"/>
          <w:i/>
          <w:sz w:val="24"/>
          <w:szCs w:val="24"/>
          <w:lang w:val="en-US"/>
        </w:rPr>
        <w:t>Science and Art: The Painted Surface</w:t>
      </w:r>
      <w:r w:rsidRPr="002667B2">
        <w:rPr>
          <w:rFonts w:ascii="Avenir Next" w:hAnsi="Avenir Next"/>
          <w:sz w:val="24"/>
          <w:szCs w:val="24"/>
          <w:lang w:val="en-US"/>
        </w:rPr>
        <w:t xml:space="preserve"> (pp. 404-428). Royal Society of Chemistry. </w:t>
      </w:r>
      <w:hyperlink r:id="rId27">
        <w:r w:rsidRPr="002667B2">
          <w:rPr>
            <w:rFonts w:ascii="Avenir Next" w:hAnsi="Avenir Next"/>
            <w:color w:val="1155CC"/>
            <w:sz w:val="24"/>
            <w:szCs w:val="24"/>
            <w:u w:val="single"/>
            <w:lang w:val="en-US"/>
          </w:rPr>
          <w:t>https://doi.org/10.1039/9781839161957-00404</w:t>
        </w:r>
      </w:hyperlink>
    </w:p>
    <w:p w14:paraId="309DA34F"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 xml:space="preserve">Berrie, B.H. y Strumfels, Y. (2017). Change is permanent: thoughts on the fading of cochineal-based watercolor pigments. </w:t>
      </w:r>
      <w:r w:rsidRPr="002667B2">
        <w:rPr>
          <w:rFonts w:ascii="Avenir Next" w:hAnsi="Avenir Next"/>
          <w:i/>
          <w:sz w:val="24"/>
          <w:szCs w:val="24"/>
          <w:lang w:val="en-US"/>
        </w:rPr>
        <w:t>Herit Sci</w:t>
      </w:r>
      <w:r w:rsidRPr="002667B2">
        <w:rPr>
          <w:rFonts w:ascii="Avenir Next" w:hAnsi="Avenir Next"/>
          <w:sz w:val="24"/>
          <w:szCs w:val="24"/>
          <w:lang w:val="en-US"/>
        </w:rPr>
        <w:t xml:space="preserve">, </w:t>
      </w:r>
      <w:r w:rsidRPr="002667B2">
        <w:rPr>
          <w:rFonts w:ascii="Avenir Next" w:hAnsi="Avenir Next"/>
          <w:i/>
          <w:sz w:val="24"/>
          <w:szCs w:val="24"/>
          <w:lang w:val="en-US"/>
        </w:rPr>
        <w:t>5</w:t>
      </w:r>
      <w:r w:rsidRPr="002667B2">
        <w:rPr>
          <w:rFonts w:ascii="Avenir Next" w:hAnsi="Avenir Next"/>
          <w:sz w:val="24"/>
          <w:szCs w:val="24"/>
          <w:lang w:val="en-US"/>
        </w:rPr>
        <w:t xml:space="preserve">(30), 1-9. </w:t>
      </w:r>
      <w:hyperlink r:id="rId28">
        <w:r w:rsidRPr="002667B2">
          <w:rPr>
            <w:rFonts w:ascii="Avenir Next" w:hAnsi="Avenir Next"/>
            <w:color w:val="1155CC"/>
            <w:sz w:val="24"/>
            <w:szCs w:val="24"/>
            <w:u w:val="single"/>
            <w:lang w:val="en-US"/>
          </w:rPr>
          <w:t>https://doi.org/10.1186/s40494-017-0143-4</w:t>
        </w:r>
      </w:hyperlink>
    </w:p>
    <w:p w14:paraId="2A8ED0FD"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 xml:space="preserve">Blake, W. (1997). </w:t>
      </w:r>
      <w:r w:rsidRPr="002667B2">
        <w:rPr>
          <w:rFonts w:ascii="Avenir Next" w:hAnsi="Avenir Next"/>
          <w:i/>
          <w:sz w:val="24"/>
          <w:szCs w:val="24"/>
          <w:lang w:val="en-US"/>
        </w:rPr>
        <w:t>Acrylic Watercolor Painting</w:t>
      </w:r>
      <w:r w:rsidRPr="002667B2">
        <w:rPr>
          <w:rFonts w:ascii="Avenir Next" w:hAnsi="Avenir Next"/>
          <w:sz w:val="24"/>
          <w:szCs w:val="24"/>
          <w:lang w:val="en-US"/>
        </w:rPr>
        <w:t xml:space="preserve"> (2.</w:t>
      </w:r>
      <w:r w:rsidRPr="002667B2">
        <w:rPr>
          <w:rFonts w:ascii="Avenir Next" w:hAnsi="Avenir Next"/>
          <w:sz w:val="24"/>
          <w:szCs w:val="24"/>
          <w:vertAlign w:val="superscript"/>
          <w:lang w:val="en-US"/>
        </w:rPr>
        <w:t>a</w:t>
      </w:r>
      <w:r w:rsidRPr="002667B2">
        <w:rPr>
          <w:rFonts w:ascii="Avenir Next" w:hAnsi="Avenir Next"/>
          <w:sz w:val="24"/>
          <w:szCs w:val="24"/>
          <w:lang w:val="en-US"/>
        </w:rPr>
        <w:t xml:space="preserve"> ed.). Dover Publications.</w:t>
      </w:r>
    </w:p>
    <w:p w14:paraId="43F431BB"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 xml:space="preserve">Borg, B., Dunn, M., Ang, A. y Villis, C. (2020). The application of state-of-the-art technologies to support artwork conservation: Literature review. </w:t>
      </w:r>
      <w:r w:rsidRPr="002667B2">
        <w:rPr>
          <w:rFonts w:ascii="Avenir Next" w:hAnsi="Avenir Next"/>
          <w:i/>
          <w:sz w:val="24"/>
          <w:szCs w:val="24"/>
          <w:lang w:val="en-US"/>
        </w:rPr>
        <w:t>Journal of Cultural Heritage</w:t>
      </w:r>
      <w:r w:rsidRPr="002667B2">
        <w:rPr>
          <w:rFonts w:ascii="Avenir Next" w:hAnsi="Avenir Next"/>
          <w:sz w:val="24"/>
          <w:szCs w:val="24"/>
          <w:lang w:val="en-US"/>
        </w:rPr>
        <w:t xml:space="preserve">, </w:t>
      </w:r>
      <w:r w:rsidRPr="002667B2">
        <w:rPr>
          <w:rFonts w:ascii="Avenir Next" w:hAnsi="Avenir Next"/>
          <w:i/>
          <w:sz w:val="24"/>
          <w:szCs w:val="24"/>
          <w:lang w:val="en-US"/>
        </w:rPr>
        <w:t>44</w:t>
      </w:r>
      <w:r w:rsidRPr="002667B2">
        <w:rPr>
          <w:rFonts w:ascii="Avenir Next" w:hAnsi="Avenir Next"/>
          <w:sz w:val="24"/>
          <w:szCs w:val="24"/>
          <w:lang w:val="en-US"/>
        </w:rPr>
        <w:t xml:space="preserve">, 239-259. </w:t>
      </w:r>
      <w:hyperlink r:id="rId29">
        <w:r w:rsidRPr="002667B2">
          <w:rPr>
            <w:rFonts w:ascii="Avenir Next" w:hAnsi="Avenir Next"/>
            <w:color w:val="1155CC"/>
            <w:sz w:val="24"/>
            <w:szCs w:val="24"/>
            <w:u w:val="single"/>
            <w:lang w:val="en-US"/>
          </w:rPr>
          <w:t>https://doi.org/10.1016/j.culher.2020.02.010</w:t>
        </w:r>
      </w:hyperlink>
    </w:p>
    <w:p w14:paraId="0A24B924"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 xml:space="preserve">Brizuela-Hernández, M., Jaikel-Víquez, D., Riggioni-Cordero, O., Escalante-Martínez, AP. y Gross, NT. (2019) Analysis of the Seasonal Variations of the Concentration of air Functional Spores in the External Space of the School of Microbiology of the University of Costa Rica. </w:t>
      </w:r>
      <w:r w:rsidRPr="002667B2">
        <w:rPr>
          <w:rFonts w:ascii="Avenir Next" w:hAnsi="Avenir Next"/>
          <w:i/>
          <w:sz w:val="24"/>
          <w:szCs w:val="24"/>
          <w:lang w:val="en-US"/>
        </w:rPr>
        <w:t>Acta Scientific Microbiology, 2</w:t>
      </w:r>
      <w:r w:rsidRPr="002667B2">
        <w:rPr>
          <w:rFonts w:ascii="Avenir Next" w:hAnsi="Avenir Next"/>
          <w:sz w:val="24"/>
          <w:szCs w:val="24"/>
          <w:lang w:val="en-US"/>
        </w:rPr>
        <w:t xml:space="preserve">(10), 35-42. </w:t>
      </w:r>
    </w:p>
    <w:p w14:paraId="3DDF4443"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lastRenderedPageBreak/>
        <w:t xml:space="preserve">Caselli, E., Pancaldi, S., Baldisserotto, C., Petrucci, F., Impallaria, A., Volpe, L., D’Accolti, M., Soffritti, I., Coccagna, M., Sassu, G., Bevilacqua, F., Volta, A., Bisi, M., Lanzoni, L. y Mazzacane, S. (2018). Characterization of biodegradation in a 17th century easel painting and potential for a biological approach. </w:t>
      </w:r>
      <w:r w:rsidRPr="002667B2">
        <w:rPr>
          <w:rFonts w:ascii="Avenir Next" w:hAnsi="Avenir Next"/>
          <w:i/>
          <w:sz w:val="24"/>
          <w:szCs w:val="24"/>
          <w:lang w:val="en-US"/>
        </w:rPr>
        <w:t xml:space="preserve">Plos One, </w:t>
      </w:r>
      <w:r w:rsidRPr="002667B2">
        <w:rPr>
          <w:rFonts w:ascii="Avenir Next" w:hAnsi="Avenir Next"/>
          <w:i/>
          <w:iCs/>
          <w:sz w:val="24"/>
          <w:szCs w:val="24"/>
          <w:lang w:val="en-US"/>
        </w:rPr>
        <w:t>13</w:t>
      </w:r>
      <w:r w:rsidRPr="002667B2">
        <w:rPr>
          <w:rFonts w:ascii="Avenir Next" w:hAnsi="Avenir Next"/>
          <w:sz w:val="24"/>
          <w:szCs w:val="24"/>
          <w:lang w:val="en-US"/>
        </w:rPr>
        <w:t xml:space="preserve">(12). </w:t>
      </w:r>
      <w:hyperlink r:id="rId30">
        <w:r w:rsidRPr="002667B2">
          <w:rPr>
            <w:rFonts w:ascii="Avenir Next" w:hAnsi="Avenir Next"/>
            <w:color w:val="1155CC"/>
            <w:sz w:val="24"/>
            <w:szCs w:val="24"/>
            <w:u w:val="single"/>
            <w:lang w:val="en-US"/>
          </w:rPr>
          <w:t>https://doi.org/10.1371/journal.pone.0207630</w:t>
        </w:r>
      </w:hyperlink>
    </w:p>
    <w:p w14:paraId="394AA24B" w14:textId="77777777" w:rsidR="002A6A69" w:rsidRPr="00B52C18"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lang w:val="en-US"/>
        </w:rPr>
        <w:t xml:space="preserve">Chen, M., Houbraken, J., Pan, W., Zhang, C., Pen, H., Wu, L., Xu, D., Xiao, Y., Wang, Z. y Liao, W. (2013). Pulmonary fungus ball caused by Penicillium capsulatum in a patient with type 2 diabetes: a case report. </w:t>
      </w:r>
      <w:r w:rsidRPr="00B52C18">
        <w:rPr>
          <w:rFonts w:ascii="Avenir Next" w:hAnsi="Avenir Next"/>
          <w:i/>
          <w:sz w:val="24"/>
          <w:szCs w:val="24"/>
        </w:rPr>
        <w:t>BMC Inf Dis, 13</w:t>
      </w:r>
      <w:r w:rsidRPr="00B52C18">
        <w:rPr>
          <w:rFonts w:ascii="Avenir Next" w:hAnsi="Avenir Next"/>
          <w:sz w:val="24"/>
          <w:szCs w:val="24"/>
        </w:rPr>
        <w:t xml:space="preserve">, 496. </w:t>
      </w:r>
    </w:p>
    <w:p w14:paraId="7F40FCEC" w14:textId="6AFAFA59"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rPr>
        <w:t>Conejo-Barboza, G., Libby, E., Marín, C., y Herrera-Sancho, O.</w:t>
      </w:r>
      <w:r w:rsidR="00862C88">
        <w:rPr>
          <w:rFonts w:ascii="Avenir Next" w:hAnsi="Avenir Next"/>
          <w:sz w:val="24"/>
          <w:szCs w:val="24"/>
        </w:rPr>
        <w:t xml:space="preserve"> </w:t>
      </w:r>
      <w:r w:rsidRPr="002667B2">
        <w:rPr>
          <w:rFonts w:ascii="Avenir Next" w:hAnsi="Avenir Next"/>
          <w:sz w:val="24"/>
          <w:szCs w:val="24"/>
        </w:rPr>
        <w:t xml:space="preserve">A. (2020). </w:t>
      </w:r>
      <w:r w:rsidRPr="002667B2">
        <w:rPr>
          <w:rFonts w:ascii="Avenir Next" w:hAnsi="Avenir Next"/>
          <w:sz w:val="24"/>
          <w:szCs w:val="24"/>
          <w:lang w:val="en-US"/>
        </w:rPr>
        <w:t xml:space="preserve">Discovery of Vespasiano Bignami paintings at the National Theatre of Costa Rica through technical photography and UV–Vis spectroscopy. </w:t>
      </w:r>
      <w:r w:rsidRPr="002667B2">
        <w:rPr>
          <w:rFonts w:ascii="Avenir Next" w:hAnsi="Avenir Next"/>
          <w:i/>
          <w:sz w:val="24"/>
          <w:szCs w:val="24"/>
          <w:lang w:val="en-US"/>
        </w:rPr>
        <w:t>Herit Sci</w:t>
      </w:r>
      <w:r w:rsidRPr="002667B2">
        <w:rPr>
          <w:rFonts w:ascii="Avenir Next" w:hAnsi="Avenir Next"/>
          <w:sz w:val="24"/>
          <w:szCs w:val="24"/>
          <w:lang w:val="en-US"/>
        </w:rPr>
        <w:t xml:space="preserve">, </w:t>
      </w:r>
      <w:r w:rsidRPr="002667B2">
        <w:rPr>
          <w:rFonts w:ascii="Avenir Next" w:hAnsi="Avenir Next"/>
          <w:i/>
          <w:sz w:val="24"/>
          <w:szCs w:val="24"/>
          <w:lang w:val="en-US"/>
        </w:rPr>
        <w:t>8</w:t>
      </w:r>
      <w:r w:rsidRPr="002667B2">
        <w:rPr>
          <w:rFonts w:ascii="Avenir Next" w:hAnsi="Avenir Next"/>
          <w:sz w:val="24"/>
          <w:szCs w:val="24"/>
          <w:lang w:val="en-US"/>
        </w:rPr>
        <w:t xml:space="preserve">(125), 1-10. </w:t>
      </w:r>
      <w:hyperlink r:id="rId31">
        <w:r w:rsidRPr="002667B2">
          <w:rPr>
            <w:rFonts w:ascii="Avenir Next" w:hAnsi="Avenir Next"/>
            <w:color w:val="1155CC"/>
            <w:sz w:val="24"/>
            <w:szCs w:val="24"/>
            <w:u w:val="single"/>
            <w:lang w:val="en-US"/>
          </w:rPr>
          <w:t>https://doi.org/10.1186/s40494-020-00470-4</w:t>
        </w:r>
      </w:hyperlink>
    </w:p>
    <w:p w14:paraId="7B33D63A" w14:textId="04D66551" w:rsidR="002A6A69" w:rsidRPr="002667B2" w:rsidRDefault="002A6A69" w:rsidP="00D92F0A">
      <w:pPr>
        <w:spacing w:after="200" w:line="480" w:lineRule="auto"/>
        <w:ind w:left="567" w:hanging="567"/>
        <w:jc w:val="both"/>
        <w:rPr>
          <w:rFonts w:ascii="Avenir Next" w:hAnsi="Avenir Next"/>
          <w:sz w:val="24"/>
          <w:szCs w:val="24"/>
          <w:lang w:val="en-US"/>
        </w:rPr>
      </w:pPr>
      <w:r w:rsidRPr="00410D4F">
        <w:rPr>
          <w:rFonts w:ascii="Avenir Next" w:hAnsi="Avenir Next"/>
          <w:sz w:val="24"/>
          <w:szCs w:val="24"/>
          <w:lang w:val="en-US"/>
        </w:rPr>
        <w:t>Conover, D.</w:t>
      </w:r>
      <w:r w:rsidR="00862C88" w:rsidRPr="00410D4F">
        <w:rPr>
          <w:rFonts w:ascii="Avenir Next" w:hAnsi="Avenir Next"/>
          <w:sz w:val="24"/>
          <w:szCs w:val="24"/>
          <w:lang w:val="en-US"/>
        </w:rPr>
        <w:t xml:space="preserve"> </w:t>
      </w:r>
      <w:r w:rsidRPr="00410D4F">
        <w:rPr>
          <w:rFonts w:ascii="Avenir Next" w:hAnsi="Avenir Next"/>
          <w:sz w:val="24"/>
          <w:szCs w:val="24"/>
          <w:lang w:val="en-US"/>
        </w:rPr>
        <w:t>M., Delaney, J.</w:t>
      </w:r>
      <w:r w:rsidR="00862C88" w:rsidRPr="00410D4F">
        <w:rPr>
          <w:rFonts w:ascii="Avenir Next" w:hAnsi="Avenir Next"/>
          <w:sz w:val="24"/>
          <w:szCs w:val="24"/>
          <w:lang w:val="en-US"/>
        </w:rPr>
        <w:t xml:space="preserve"> </w:t>
      </w:r>
      <w:r w:rsidRPr="00410D4F">
        <w:rPr>
          <w:rFonts w:ascii="Avenir Next" w:hAnsi="Avenir Next"/>
          <w:sz w:val="24"/>
          <w:szCs w:val="24"/>
          <w:lang w:val="en-US"/>
        </w:rPr>
        <w:t>K. y Loew, M.</w:t>
      </w:r>
      <w:r w:rsidR="00862C88" w:rsidRPr="00410D4F">
        <w:rPr>
          <w:rFonts w:ascii="Avenir Next" w:hAnsi="Avenir Next"/>
          <w:sz w:val="24"/>
          <w:szCs w:val="24"/>
          <w:lang w:val="en-US"/>
        </w:rPr>
        <w:t xml:space="preserve"> </w:t>
      </w:r>
      <w:r w:rsidRPr="00410D4F">
        <w:rPr>
          <w:rFonts w:ascii="Avenir Next" w:hAnsi="Avenir Next"/>
          <w:sz w:val="24"/>
          <w:szCs w:val="24"/>
          <w:lang w:val="en-US"/>
        </w:rPr>
        <w:t xml:space="preserve">H. (2015). </w:t>
      </w:r>
      <w:r w:rsidRPr="002667B2">
        <w:rPr>
          <w:rFonts w:ascii="Avenir Next" w:hAnsi="Avenir Next"/>
          <w:sz w:val="24"/>
          <w:szCs w:val="24"/>
          <w:lang w:val="en-US"/>
        </w:rPr>
        <w:t xml:space="preserve">Automatic registration and mosaicking of technical images of Old Master paintings. </w:t>
      </w:r>
      <w:r w:rsidRPr="002667B2">
        <w:rPr>
          <w:rFonts w:ascii="Avenir Next" w:hAnsi="Avenir Next"/>
          <w:i/>
          <w:sz w:val="24"/>
          <w:szCs w:val="24"/>
          <w:lang w:val="en-US"/>
        </w:rPr>
        <w:t>Appl. Phys. A.,</w:t>
      </w:r>
      <w:r w:rsidRPr="002667B2">
        <w:rPr>
          <w:rFonts w:ascii="Avenir Next" w:hAnsi="Avenir Next"/>
          <w:sz w:val="24"/>
          <w:szCs w:val="24"/>
          <w:lang w:val="en-US"/>
        </w:rPr>
        <w:t xml:space="preserve"> </w:t>
      </w:r>
      <w:r w:rsidRPr="002667B2">
        <w:rPr>
          <w:rFonts w:ascii="Avenir Next" w:hAnsi="Avenir Next"/>
          <w:i/>
          <w:iCs/>
          <w:sz w:val="24"/>
          <w:szCs w:val="24"/>
          <w:lang w:val="en-US"/>
        </w:rPr>
        <w:t>119</w:t>
      </w:r>
      <w:r w:rsidRPr="002667B2">
        <w:rPr>
          <w:rFonts w:ascii="Avenir Next" w:hAnsi="Avenir Next"/>
          <w:sz w:val="24"/>
          <w:szCs w:val="24"/>
          <w:lang w:val="en-US"/>
        </w:rPr>
        <w:t xml:space="preserve">, 1567–1575. </w:t>
      </w:r>
      <w:hyperlink r:id="rId32">
        <w:r w:rsidRPr="002667B2">
          <w:rPr>
            <w:rFonts w:ascii="Avenir Next" w:hAnsi="Avenir Next"/>
            <w:color w:val="1155CC"/>
            <w:sz w:val="24"/>
            <w:szCs w:val="24"/>
            <w:u w:val="single"/>
            <w:lang w:val="en-US"/>
          </w:rPr>
          <w:t>https://doi.org/10.1007/s00339-015-9140-1</w:t>
        </w:r>
      </w:hyperlink>
    </w:p>
    <w:p w14:paraId="0EAE6FE0" w14:textId="5B049088"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Cooley, J.</w:t>
      </w:r>
      <w:r w:rsidR="00862C88">
        <w:rPr>
          <w:rFonts w:ascii="Avenir Next" w:hAnsi="Avenir Next"/>
          <w:sz w:val="24"/>
          <w:szCs w:val="24"/>
          <w:lang w:val="en-US"/>
        </w:rPr>
        <w:t xml:space="preserve"> </w:t>
      </w:r>
      <w:r w:rsidRPr="002667B2">
        <w:rPr>
          <w:rFonts w:ascii="Avenir Next" w:hAnsi="Avenir Next"/>
          <w:sz w:val="24"/>
          <w:szCs w:val="24"/>
          <w:lang w:val="en-US"/>
        </w:rPr>
        <w:t>D., Wong, W.</w:t>
      </w:r>
      <w:r w:rsidR="00862C88">
        <w:rPr>
          <w:rFonts w:ascii="Avenir Next" w:hAnsi="Avenir Next"/>
          <w:sz w:val="24"/>
          <w:szCs w:val="24"/>
          <w:lang w:val="en-US"/>
        </w:rPr>
        <w:t xml:space="preserve"> </w:t>
      </w:r>
      <w:r w:rsidRPr="002667B2">
        <w:rPr>
          <w:rFonts w:ascii="Avenir Next" w:hAnsi="Avenir Next"/>
          <w:sz w:val="24"/>
          <w:szCs w:val="24"/>
          <w:lang w:val="en-US"/>
        </w:rPr>
        <w:t>C., Jumper, C.</w:t>
      </w:r>
      <w:r w:rsidR="00862C88">
        <w:rPr>
          <w:rFonts w:ascii="Avenir Next" w:hAnsi="Avenir Next"/>
          <w:sz w:val="24"/>
          <w:szCs w:val="24"/>
          <w:lang w:val="en-US"/>
        </w:rPr>
        <w:t xml:space="preserve"> </w:t>
      </w:r>
      <w:r w:rsidRPr="002667B2">
        <w:rPr>
          <w:rFonts w:ascii="Avenir Next" w:hAnsi="Avenir Next"/>
          <w:sz w:val="24"/>
          <w:szCs w:val="24"/>
          <w:lang w:val="en-US"/>
        </w:rPr>
        <w:t>A. y Straus, D.</w:t>
      </w:r>
      <w:r w:rsidR="00862C88">
        <w:rPr>
          <w:rFonts w:ascii="Avenir Next" w:hAnsi="Avenir Next"/>
          <w:sz w:val="24"/>
          <w:szCs w:val="24"/>
          <w:lang w:val="en-US"/>
        </w:rPr>
        <w:t xml:space="preserve"> </w:t>
      </w:r>
      <w:r w:rsidRPr="002667B2">
        <w:rPr>
          <w:rFonts w:ascii="Avenir Next" w:hAnsi="Avenir Next"/>
          <w:sz w:val="24"/>
          <w:szCs w:val="24"/>
          <w:lang w:val="en-US"/>
        </w:rPr>
        <w:t xml:space="preserve">C. (1998). Correlation between the prevalence of certain fungi and sick building syndrome. </w:t>
      </w:r>
      <w:r w:rsidRPr="002667B2">
        <w:rPr>
          <w:rFonts w:ascii="Avenir Next" w:hAnsi="Avenir Next"/>
          <w:i/>
          <w:sz w:val="24"/>
          <w:szCs w:val="24"/>
          <w:lang w:val="en-US"/>
        </w:rPr>
        <w:t xml:space="preserve">Occup Environ Med, 55, </w:t>
      </w:r>
      <w:r w:rsidRPr="002667B2">
        <w:rPr>
          <w:rFonts w:ascii="Avenir Next" w:hAnsi="Avenir Next"/>
          <w:sz w:val="24"/>
          <w:szCs w:val="24"/>
          <w:lang w:val="en-US"/>
        </w:rPr>
        <w:t>579-584.</w:t>
      </w:r>
    </w:p>
    <w:p w14:paraId="5506A124"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Cosentino, A. (2015</w:t>
      </w:r>
      <w:r w:rsidR="009A72C0">
        <w:rPr>
          <w:rFonts w:ascii="Avenir Next" w:hAnsi="Avenir Next"/>
          <w:sz w:val="24"/>
          <w:szCs w:val="24"/>
          <w:lang w:val="en-US"/>
        </w:rPr>
        <w:t>a</w:t>
      </w:r>
      <w:r w:rsidRPr="002667B2">
        <w:rPr>
          <w:rFonts w:ascii="Avenir Next" w:hAnsi="Avenir Next"/>
          <w:sz w:val="24"/>
          <w:szCs w:val="24"/>
          <w:lang w:val="en-US"/>
        </w:rPr>
        <w:t xml:space="preserve">). Multispectral imaging and the art expert. </w:t>
      </w:r>
      <w:r w:rsidRPr="002667B2">
        <w:rPr>
          <w:rFonts w:ascii="Avenir Next" w:hAnsi="Avenir Next"/>
          <w:i/>
          <w:sz w:val="24"/>
          <w:szCs w:val="24"/>
          <w:lang w:val="en-US"/>
        </w:rPr>
        <w:t>Spectroscopy Europe</w:t>
      </w:r>
      <w:r w:rsidRPr="002667B2">
        <w:rPr>
          <w:rFonts w:ascii="Avenir Next" w:hAnsi="Avenir Next"/>
          <w:sz w:val="24"/>
          <w:szCs w:val="24"/>
          <w:lang w:val="en-US"/>
        </w:rPr>
        <w:t xml:space="preserve">, </w:t>
      </w:r>
      <w:r w:rsidRPr="002667B2">
        <w:rPr>
          <w:rFonts w:ascii="Avenir Next" w:hAnsi="Avenir Next"/>
          <w:i/>
          <w:sz w:val="24"/>
          <w:szCs w:val="24"/>
          <w:lang w:val="en-US"/>
        </w:rPr>
        <w:t>27</w:t>
      </w:r>
      <w:r w:rsidRPr="002667B2">
        <w:rPr>
          <w:rFonts w:ascii="Avenir Next" w:hAnsi="Avenir Next"/>
          <w:sz w:val="24"/>
          <w:szCs w:val="24"/>
          <w:lang w:val="en-US"/>
        </w:rPr>
        <w:t>(2), 6-9.</w:t>
      </w:r>
    </w:p>
    <w:p w14:paraId="7A60C7D4"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Cosentino, A. (2015</w:t>
      </w:r>
      <w:r w:rsidR="009A72C0">
        <w:rPr>
          <w:rFonts w:ascii="Avenir Next" w:hAnsi="Avenir Next"/>
          <w:sz w:val="24"/>
          <w:szCs w:val="24"/>
          <w:lang w:val="en-US"/>
        </w:rPr>
        <w:t>b</w:t>
      </w:r>
      <w:r w:rsidRPr="002667B2">
        <w:rPr>
          <w:rFonts w:ascii="Avenir Next" w:hAnsi="Avenir Next"/>
          <w:sz w:val="24"/>
          <w:szCs w:val="24"/>
          <w:lang w:val="en-US"/>
        </w:rPr>
        <w:t xml:space="preserve">). Panoramic, Macro and Micro Multispectral Imaging: An Affordable System for Mapping Pigments on Artworks. </w:t>
      </w:r>
      <w:r w:rsidRPr="002667B2">
        <w:rPr>
          <w:rFonts w:ascii="Avenir Next" w:hAnsi="Avenir Next"/>
          <w:i/>
          <w:sz w:val="24"/>
          <w:szCs w:val="24"/>
          <w:lang w:val="en-US"/>
        </w:rPr>
        <w:t>Journal of Conservation and Museum Studies</w:t>
      </w:r>
      <w:r w:rsidRPr="002667B2">
        <w:rPr>
          <w:rFonts w:ascii="Avenir Next" w:hAnsi="Avenir Next"/>
          <w:sz w:val="24"/>
          <w:szCs w:val="24"/>
          <w:lang w:val="en-US"/>
        </w:rPr>
        <w:t xml:space="preserve">, </w:t>
      </w:r>
      <w:r w:rsidRPr="002667B2">
        <w:rPr>
          <w:rFonts w:ascii="Avenir Next" w:hAnsi="Avenir Next"/>
          <w:i/>
          <w:sz w:val="24"/>
          <w:szCs w:val="24"/>
          <w:lang w:val="en-US"/>
        </w:rPr>
        <w:t>13</w:t>
      </w:r>
      <w:r w:rsidRPr="002667B2">
        <w:rPr>
          <w:rFonts w:ascii="Avenir Next" w:hAnsi="Avenir Next"/>
          <w:sz w:val="24"/>
          <w:szCs w:val="24"/>
          <w:lang w:val="en-US"/>
        </w:rPr>
        <w:t xml:space="preserve">(1), 1-17. </w:t>
      </w:r>
      <w:hyperlink r:id="rId33">
        <w:r w:rsidRPr="002667B2">
          <w:rPr>
            <w:rFonts w:ascii="Avenir Next" w:hAnsi="Avenir Next"/>
            <w:color w:val="1155CC"/>
            <w:sz w:val="24"/>
            <w:szCs w:val="24"/>
            <w:u w:val="single"/>
            <w:lang w:val="en-US"/>
          </w:rPr>
          <w:t>http://dx.doi.org/10.5334/jcms.1021224</w:t>
        </w:r>
      </w:hyperlink>
    </w:p>
    <w:p w14:paraId="6DDF037A" w14:textId="77777777" w:rsidR="002A6A69" w:rsidRPr="002667B2" w:rsidRDefault="002A6A69" w:rsidP="00D92F0A">
      <w:pPr>
        <w:spacing w:after="200" w:line="480" w:lineRule="auto"/>
        <w:ind w:left="567" w:hanging="567"/>
        <w:jc w:val="both"/>
        <w:rPr>
          <w:rFonts w:ascii="Avenir Next" w:hAnsi="Avenir Next"/>
          <w:sz w:val="24"/>
          <w:szCs w:val="24"/>
          <w:lang w:val="es-ES"/>
        </w:rPr>
      </w:pPr>
      <w:r w:rsidRPr="002667B2">
        <w:rPr>
          <w:rFonts w:ascii="Avenir Next" w:hAnsi="Avenir Next"/>
          <w:sz w:val="24"/>
          <w:szCs w:val="24"/>
          <w:lang w:val="en-US"/>
        </w:rPr>
        <w:t>Cosentino, A. (2015</w:t>
      </w:r>
      <w:r w:rsidR="009A72C0">
        <w:rPr>
          <w:rFonts w:ascii="Avenir Next" w:hAnsi="Avenir Next"/>
          <w:sz w:val="24"/>
          <w:szCs w:val="24"/>
          <w:lang w:val="en-US"/>
        </w:rPr>
        <w:t>c</w:t>
      </w:r>
      <w:r w:rsidRPr="002667B2">
        <w:rPr>
          <w:rFonts w:ascii="Avenir Next" w:hAnsi="Avenir Next"/>
          <w:sz w:val="24"/>
          <w:szCs w:val="24"/>
          <w:lang w:val="en-US"/>
        </w:rPr>
        <w:t xml:space="preserve">). Practical notes on ultraviolet technical photography for art examination. </w:t>
      </w:r>
      <w:r w:rsidRPr="002667B2">
        <w:rPr>
          <w:rFonts w:ascii="Avenir Next" w:hAnsi="Avenir Next"/>
          <w:i/>
          <w:sz w:val="24"/>
          <w:szCs w:val="24"/>
          <w:lang w:val="es-ES"/>
        </w:rPr>
        <w:t>Conservar Património</w:t>
      </w:r>
      <w:r w:rsidRPr="002667B2">
        <w:rPr>
          <w:rFonts w:ascii="Avenir Next" w:hAnsi="Avenir Next"/>
          <w:sz w:val="24"/>
          <w:szCs w:val="24"/>
          <w:lang w:val="es-ES"/>
        </w:rPr>
        <w:t xml:space="preserve">, </w:t>
      </w:r>
      <w:r w:rsidRPr="002667B2">
        <w:rPr>
          <w:rFonts w:ascii="Avenir Next" w:hAnsi="Avenir Next"/>
          <w:i/>
          <w:sz w:val="24"/>
          <w:szCs w:val="24"/>
          <w:lang w:val="es-ES"/>
        </w:rPr>
        <w:t>21</w:t>
      </w:r>
      <w:r w:rsidRPr="002667B2">
        <w:rPr>
          <w:rFonts w:ascii="Avenir Next" w:hAnsi="Avenir Next"/>
          <w:sz w:val="24"/>
          <w:szCs w:val="24"/>
          <w:lang w:val="es-ES"/>
        </w:rPr>
        <w:t xml:space="preserve">, 53-62. </w:t>
      </w:r>
      <w:hyperlink r:id="rId34">
        <w:r w:rsidRPr="002667B2">
          <w:rPr>
            <w:rFonts w:ascii="Avenir Next" w:hAnsi="Avenir Next"/>
            <w:color w:val="1155CC"/>
            <w:sz w:val="24"/>
            <w:szCs w:val="24"/>
            <w:u w:val="single"/>
            <w:lang w:val="es-ES"/>
          </w:rPr>
          <w:t>https://doi.org/10.14568/cp2015006</w:t>
        </w:r>
      </w:hyperlink>
    </w:p>
    <w:p w14:paraId="1F955C14" w14:textId="294B8782"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lang w:val="es-ES"/>
        </w:rPr>
        <w:lastRenderedPageBreak/>
        <w:t>Delaney, J.</w:t>
      </w:r>
      <w:r w:rsidR="00862C88">
        <w:rPr>
          <w:rFonts w:ascii="Avenir Next" w:hAnsi="Avenir Next"/>
          <w:sz w:val="24"/>
          <w:szCs w:val="24"/>
          <w:lang w:val="es-ES"/>
        </w:rPr>
        <w:t xml:space="preserve"> </w:t>
      </w:r>
      <w:r w:rsidRPr="002667B2">
        <w:rPr>
          <w:rFonts w:ascii="Avenir Next" w:hAnsi="Avenir Next"/>
          <w:sz w:val="24"/>
          <w:szCs w:val="24"/>
          <w:lang w:val="es-ES"/>
        </w:rPr>
        <w:t>K., Dooley, K.</w:t>
      </w:r>
      <w:r w:rsidR="00862C88">
        <w:rPr>
          <w:rFonts w:ascii="Avenir Next" w:hAnsi="Avenir Next"/>
          <w:sz w:val="24"/>
          <w:szCs w:val="24"/>
          <w:lang w:val="es-ES"/>
        </w:rPr>
        <w:t xml:space="preserve"> </w:t>
      </w:r>
      <w:r w:rsidRPr="002667B2">
        <w:rPr>
          <w:rFonts w:ascii="Avenir Next" w:hAnsi="Avenir Next"/>
          <w:sz w:val="24"/>
          <w:szCs w:val="24"/>
          <w:lang w:val="es-ES"/>
        </w:rPr>
        <w:t xml:space="preserve">A., van Loon, A. y Vandivere, A. (2020). </w:t>
      </w:r>
      <w:r w:rsidRPr="002667B2">
        <w:rPr>
          <w:rFonts w:ascii="Avenir Next" w:hAnsi="Avenir Next"/>
          <w:sz w:val="24"/>
          <w:szCs w:val="24"/>
          <w:lang w:val="en-US"/>
        </w:rPr>
        <w:t xml:space="preserve">Mapping the pigment distribution of Vermeer’s </w:t>
      </w:r>
      <w:r w:rsidRPr="002667B2">
        <w:rPr>
          <w:rFonts w:ascii="Avenir Next" w:hAnsi="Avenir Next"/>
          <w:i/>
          <w:sz w:val="24"/>
          <w:szCs w:val="24"/>
          <w:lang w:val="en-US"/>
        </w:rPr>
        <w:t>Girl with a Pearl Earring</w:t>
      </w:r>
      <w:r w:rsidRPr="002667B2">
        <w:rPr>
          <w:rFonts w:ascii="Avenir Next" w:hAnsi="Avenir Next"/>
          <w:sz w:val="24"/>
          <w:szCs w:val="24"/>
          <w:lang w:val="en-US"/>
        </w:rPr>
        <w:t xml:space="preserve">. </w:t>
      </w:r>
      <w:r w:rsidRPr="002667B2">
        <w:rPr>
          <w:rFonts w:ascii="Avenir Next" w:hAnsi="Avenir Next"/>
          <w:i/>
          <w:sz w:val="24"/>
          <w:szCs w:val="24"/>
        </w:rPr>
        <w:t>Herit Sci,</w:t>
      </w:r>
      <w:r w:rsidRPr="002667B2">
        <w:rPr>
          <w:rFonts w:ascii="Avenir Next" w:hAnsi="Avenir Next"/>
          <w:sz w:val="24"/>
          <w:szCs w:val="24"/>
        </w:rPr>
        <w:t xml:space="preserve"> </w:t>
      </w:r>
      <w:r w:rsidRPr="002667B2">
        <w:rPr>
          <w:rFonts w:ascii="Avenir Next" w:hAnsi="Avenir Next"/>
          <w:i/>
          <w:iCs/>
          <w:sz w:val="24"/>
          <w:szCs w:val="24"/>
        </w:rPr>
        <w:t>8</w:t>
      </w:r>
      <w:r w:rsidRPr="002667B2">
        <w:rPr>
          <w:rFonts w:ascii="Avenir Next" w:hAnsi="Avenir Next"/>
          <w:sz w:val="24"/>
          <w:szCs w:val="24"/>
        </w:rPr>
        <w:t xml:space="preserve">(4). </w:t>
      </w:r>
      <w:hyperlink r:id="rId35">
        <w:r w:rsidRPr="002667B2">
          <w:rPr>
            <w:rFonts w:ascii="Avenir Next" w:hAnsi="Avenir Next"/>
            <w:color w:val="1155CC"/>
            <w:sz w:val="24"/>
            <w:szCs w:val="24"/>
            <w:u w:val="single"/>
          </w:rPr>
          <w:t>https://doi.org/10.1186/s40494-019-0348-9</w:t>
        </w:r>
      </w:hyperlink>
    </w:p>
    <w:p w14:paraId="3FFA2F60" w14:textId="519A5D5E"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Douglas, B., Santos de Abreu, C., Batista dos Santos, A.</w:t>
      </w:r>
      <w:r w:rsidR="00862C88">
        <w:rPr>
          <w:rFonts w:ascii="Avenir Next" w:hAnsi="Avenir Next"/>
          <w:sz w:val="24"/>
          <w:szCs w:val="24"/>
        </w:rPr>
        <w:t xml:space="preserve"> </w:t>
      </w:r>
      <w:r w:rsidRPr="002667B2">
        <w:rPr>
          <w:rFonts w:ascii="Avenir Next" w:hAnsi="Avenir Next"/>
          <w:sz w:val="24"/>
          <w:szCs w:val="24"/>
        </w:rPr>
        <w:t xml:space="preserve">F. y Aparecida de Resende Stoianoff, M. (2021). </w:t>
      </w:r>
      <w:r w:rsidRPr="002667B2">
        <w:rPr>
          <w:rFonts w:ascii="Avenir Next" w:hAnsi="Avenir Next"/>
          <w:sz w:val="24"/>
          <w:szCs w:val="24"/>
          <w:lang w:val="en-US"/>
        </w:rPr>
        <w:t xml:space="preserve">Evaluation of microbiological air parameters and the fungal community involved in the potential risks of biodeterioration in a cultural heritage of humanity, Ouro Preto, Brazil. </w:t>
      </w:r>
      <w:r w:rsidRPr="002667B2">
        <w:rPr>
          <w:rFonts w:ascii="Avenir Next" w:hAnsi="Avenir Next"/>
          <w:i/>
          <w:sz w:val="24"/>
          <w:szCs w:val="24"/>
        </w:rPr>
        <w:t>Folia Microbiol</w:t>
      </w:r>
      <w:r w:rsidRPr="002667B2">
        <w:rPr>
          <w:rFonts w:ascii="Avenir Next" w:hAnsi="Avenir Next"/>
          <w:sz w:val="24"/>
          <w:szCs w:val="24"/>
        </w:rPr>
        <w:t xml:space="preserve">. </w:t>
      </w:r>
      <w:r w:rsidRPr="002667B2">
        <w:rPr>
          <w:rFonts w:ascii="Avenir Next" w:hAnsi="Avenir Next"/>
          <w:i/>
          <w:iCs/>
          <w:sz w:val="24"/>
          <w:szCs w:val="24"/>
        </w:rPr>
        <w:t>66</w:t>
      </w:r>
      <w:r w:rsidRPr="002667B2">
        <w:rPr>
          <w:rFonts w:ascii="Avenir Next" w:hAnsi="Avenir Next"/>
          <w:sz w:val="24"/>
          <w:szCs w:val="24"/>
        </w:rPr>
        <w:t xml:space="preserve">, 797-807. </w:t>
      </w:r>
      <w:hyperlink r:id="rId36">
        <w:r w:rsidRPr="002667B2">
          <w:rPr>
            <w:rFonts w:ascii="Avenir Next" w:hAnsi="Avenir Next"/>
            <w:color w:val="1155CC"/>
            <w:sz w:val="24"/>
            <w:szCs w:val="24"/>
            <w:u w:val="single"/>
          </w:rPr>
          <w:t>https://doi.org/10.1007/s12223-021-00880-2</w:t>
        </w:r>
      </w:hyperlink>
    </w:p>
    <w:p w14:paraId="7BF853FB" w14:textId="29FCC281"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Echeverría, C.</w:t>
      </w:r>
      <w:r w:rsidR="00862C88">
        <w:rPr>
          <w:rFonts w:ascii="Avenir Next" w:hAnsi="Avenir Next"/>
          <w:sz w:val="24"/>
          <w:szCs w:val="24"/>
        </w:rPr>
        <w:t xml:space="preserve"> </w:t>
      </w:r>
      <w:r w:rsidRPr="002667B2">
        <w:rPr>
          <w:rFonts w:ascii="Avenir Next" w:hAnsi="Avenir Next"/>
          <w:sz w:val="24"/>
          <w:szCs w:val="24"/>
        </w:rPr>
        <w:t xml:space="preserve">F. (1986). </w:t>
      </w:r>
      <w:r w:rsidRPr="00090851">
        <w:rPr>
          <w:rFonts w:ascii="Avenir Next" w:hAnsi="Avenir Next"/>
          <w:i/>
          <w:iCs/>
          <w:sz w:val="24"/>
          <w:szCs w:val="24"/>
        </w:rPr>
        <w:t>Historia crítica del arte costarricense.</w:t>
      </w:r>
      <w:r w:rsidRPr="002667B2">
        <w:rPr>
          <w:rFonts w:ascii="Avenir Next" w:hAnsi="Avenir Next"/>
          <w:sz w:val="24"/>
          <w:szCs w:val="24"/>
        </w:rPr>
        <w:t xml:space="preserve"> Editorial Universidad Estatal a Distancia.</w:t>
      </w:r>
    </w:p>
    <w:p w14:paraId="00BAC9C9" w14:textId="77777777"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 xml:space="preserve">Gross, N. T. y Salas-Campos, I. (2012). </w:t>
      </w:r>
      <w:r w:rsidRPr="00090851">
        <w:rPr>
          <w:rFonts w:ascii="Avenir Next" w:hAnsi="Avenir Next"/>
          <w:i/>
          <w:iCs/>
          <w:sz w:val="24"/>
          <w:szCs w:val="24"/>
        </w:rPr>
        <w:t>Métodos de diagnósticos en micología médica.</w:t>
      </w:r>
      <w:r w:rsidRPr="002667B2">
        <w:rPr>
          <w:rFonts w:ascii="Avenir Next" w:hAnsi="Avenir Next"/>
          <w:sz w:val="24"/>
          <w:szCs w:val="24"/>
        </w:rPr>
        <w:t xml:space="preserve"> Editorial Universidad de Costa Rica.</w:t>
      </w:r>
    </w:p>
    <w:p w14:paraId="18DBD267" w14:textId="77777777"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 xml:space="preserve">Jaikel-Víquez, D., Hernández-Vargas, S., Riggioni-Cordero, O., Salas-Campos, I. y Gross-Martínez, N. (2015). Contaminación fúngica ambiental en tres centros de enseñanza primaria del cantón Central de la provincia de Heredia, Costa Rica. </w:t>
      </w:r>
      <w:r w:rsidRPr="002667B2">
        <w:rPr>
          <w:rFonts w:ascii="Avenir Next" w:hAnsi="Avenir Next"/>
          <w:i/>
          <w:sz w:val="24"/>
          <w:szCs w:val="24"/>
        </w:rPr>
        <w:t>Acta Médica Costarricense, 57</w:t>
      </w:r>
      <w:r w:rsidRPr="002667B2">
        <w:rPr>
          <w:rFonts w:ascii="Avenir Next" w:hAnsi="Avenir Next"/>
          <w:sz w:val="24"/>
          <w:szCs w:val="24"/>
        </w:rPr>
        <w:t>(3), 137-142.</w:t>
      </w:r>
    </w:p>
    <w:p w14:paraId="44237D9B"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rPr>
        <w:t xml:space="preserve">Joron, C., Roméo, B., Le Flèche-Matéos, A., Rames, C., el Samad, Y. y Hamdad, F. (2019). </w:t>
      </w:r>
      <w:r w:rsidRPr="002667B2">
        <w:rPr>
          <w:rFonts w:ascii="Avenir Next" w:hAnsi="Avenir Next"/>
          <w:i/>
          <w:sz w:val="24"/>
          <w:szCs w:val="24"/>
          <w:lang w:val="en-US"/>
        </w:rPr>
        <w:t>Dermacoccus nishinomiyaensis</w:t>
      </w:r>
      <w:r w:rsidRPr="002667B2">
        <w:rPr>
          <w:rFonts w:ascii="Avenir Next" w:hAnsi="Avenir Next"/>
          <w:sz w:val="24"/>
          <w:szCs w:val="24"/>
          <w:lang w:val="en-US"/>
        </w:rPr>
        <w:t xml:space="preserve"> as a cause of persistent paediatric catheter-related bacteraemia. </w:t>
      </w:r>
      <w:r w:rsidRPr="002667B2">
        <w:rPr>
          <w:rFonts w:ascii="Avenir Next" w:hAnsi="Avenir Next"/>
          <w:i/>
          <w:sz w:val="24"/>
          <w:szCs w:val="24"/>
          <w:lang w:val="en-US"/>
        </w:rPr>
        <w:t>Clinical Microbiology and Infection</w:t>
      </w:r>
      <w:r w:rsidRPr="002667B2">
        <w:rPr>
          <w:rFonts w:ascii="Avenir Next" w:hAnsi="Avenir Next"/>
          <w:sz w:val="24"/>
          <w:szCs w:val="24"/>
          <w:lang w:val="en-US"/>
        </w:rPr>
        <w:t xml:space="preserve">, </w:t>
      </w:r>
      <w:r w:rsidRPr="002667B2">
        <w:rPr>
          <w:rFonts w:ascii="Avenir Next" w:hAnsi="Avenir Next"/>
          <w:i/>
          <w:sz w:val="24"/>
          <w:szCs w:val="24"/>
          <w:lang w:val="en-US"/>
        </w:rPr>
        <w:t>25</w:t>
      </w:r>
      <w:r w:rsidRPr="002667B2">
        <w:rPr>
          <w:rFonts w:ascii="Avenir Next" w:hAnsi="Avenir Next"/>
          <w:sz w:val="24"/>
          <w:szCs w:val="24"/>
          <w:lang w:val="en-US"/>
        </w:rPr>
        <w:t xml:space="preserve">(8), 1054–1055. </w:t>
      </w:r>
      <w:hyperlink r:id="rId37">
        <w:r w:rsidRPr="002667B2">
          <w:rPr>
            <w:rFonts w:ascii="Avenir Next" w:hAnsi="Avenir Next"/>
            <w:color w:val="1155CC"/>
            <w:sz w:val="24"/>
            <w:szCs w:val="24"/>
            <w:u w:val="single"/>
            <w:lang w:val="en-US"/>
          </w:rPr>
          <w:t>https://doi.org/10.1016/j.cmi.2019.02.023</w:t>
        </w:r>
      </w:hyperlink>
    </w:p>
    <w:p w14:paraId="20966D87" w14:textId="60BEA328"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Joshi, S.</w:t>
      </w:r>
      <w:r w:rsidR="00862C88">
        <w:rPr>
          <w:rFonts w:ascii="Avenir Next" w:hAnsi="Avenir Next"/>
          <w:sz w:val="24"/>
          <w:szCs w:val="24"/>
          <w:lang w:val="en-US"/>
        </w:rPr>
        <w:t xml:space="preserve"> </w:t>
      </w:r>
      <w:r w:rsidRPr="002667B2">
        <w:rPr>
          <w:rFonts w:ascii="Avenir Next" w:hAnsi="Avenir Next"/>
          <w:sz w:val="24"/>
          <w:szCs w:val="24"/>
          <w:lang w:val="en-US"/>
        </w:rPr>
        <w:t xml:space="preserve">M. (2008). The sick building syndrome. </w:t>
      </w:r>
      <w:r w:rsidRPr="002667B2">
        <w:rPr>
          <w:rFonts w:ascii="Avenir Next" w:hAnsi="Avenir Next"/>
          <w:i/>
          <w:sz w:val="24"/>
          <w:szCs w:val="24"/>
          <w:lang w:val="en-US"/>
        </w:rPr>
        <w:t>Indian J Occup Med, 23</w:t>
      </w:r>
      <w:r w:rsidRPr="002667B2">
        <w:rPr>
          <w:rFonts w:ascii="Avenir Next" w:hAnsi="Avenir Next"/>
          <w:sz w:val="24"/>
          <w:szCs w:val="24"/>
          <w:lang w:val="en-US"/>
        </w:rPr>
        <w:t xml:space="preserve">(2): 61-64. </w:t>
      </w:r>
      <w:r w:rsidRPr="002667B2">
        <w:rPr>
          <w:rFonts w:ascii="Avenir Next" w:hAnsi="Avenir Next"/>
          <w:color w:val="1155CC"/>
          <w:sz w:val="24"/>
          <w:szCs w:val="24"/>
          <w:u w:val="single"/>
          <w:lang w:val="en-US"/>
        </w:rPr>
        <w:t>https://doi.org/</w:t>
      </w:r>
      <w:hyperlink r:id="rId38">
        <w:r w:rsidRPr="002667B2">
          <w:rPr>
            <w:rFonts w:ascii="Avenir Next" w:hAnsi="Avenir Next"/>
            <w:color w:val="1155CC"/>
            <w:sz w:val="24"/>
            <w:szCs w:val="24"/>
            <w:u w:val="single"/>
            <w:lang w:val="en-US"/>
          </w:rPr>
          <w:t>10.4103/0019-5278.4326</w:t>
        </w:r>
      </w:hyperlink>
      <w:hyperlink r:id="rId39">
        <w:r w:rsidRPr="002667B2">
          <w:rPr>
            <w:rFonts w:ascii="Avenir Next" w:hAnsi="Avenir Next"/>
            <w:color w:val="376FAA"/>
            <w:sz w:val="24"/>
            <w:szCs w:val="24"/>
            <w:u w:val="single"/>
            <w:lang w:val="en-US"/>
          </w:rPr>
          <w:t>2</w:t>
        </w:r>
      </w:hyperlink>
    </w:p>
    <w:p w14:paraId="45F4977A"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rPr>
        <w:lastRenderedPageBreak/>
        <w:t xml:space="preserve">Kavkler, K., Gunde-Cimerman, N., Zalar, P. y Demšar, A. (2015). </w:t>
      </w:r>
      <w:r w:rsidRPr="002667B2">
        <w:rPr>
          <w:rFonts w:ascii="Avenir Next" w:hAnsi="Avenir Next"/>
          <w:sz w:val="24"/>
          <w:szCs w:val="24"/>
          <w:lang w:val="en-US"/>
        </w:rPr>
        <w:t xml:space="preserve">Fungal contamination of textile objects preserved in Slovene museums and religious institutions. </w:t>
      </w:r>
      <w:r w:rsidRPr="002667B2">
        <w:rPr>
          <w:rFonts w:ascii="Avenir Next" w:hAnsi="Avenir Next"/>
          <w:i/>
          <w:sz w:val="24"/>
          <w:szCs w:val="24"/>
          <w:lang w:val="en-US"/>
        </w:rPr>
        <w:t>International Biodeterioration &amp; Biodegradation</w:t>
      </w:r>
      <w:r w:rsidRPr="002667B2">
        <w:rPr>
          <w:rFonts w:ascii="Avenir Next" w:hAnsi="Avenir Next"/>
          <w:sz w:val="24"/>
          <w:szCs w:val="24"/>
          <w:lang w:val="en-US"/>
        </w:rPr>
        <w:t xml:space="preserve">, </w:t>
      </w:r>
      <w:r w:rsidRPr="002667B2">
        <w:rPr>
          <w:rFonts w:ascii="Avenir Next" w:hAnsi="Avenir Next"/>
          <w:i/>
          <w:sz w:val="24"/>
          <w:szCs w:val="24"/>
          <w:lang w:val="en-US"/>
        </w:rPr>
        <w:t>97</w:t>
      </w:r>
      <w:r w:rsidRPr="002667B2">
        <w:rPr>
          <w:rFonts w:ascii="Avenir Next" w:hAnsi="Avenir Next"/>
          <w:sz w:val="24"/>
          <w:szCs w:val="24"/>
          <w:lang w:val="en-US"/>
        </w:rPr>
        <w:t xml:space="preserve">, 51-59. </w:t>
      </w:r>
      <w:hyperlink r:id="rId40">
        <w:r w:rsidRPr="002667B2">
          <w:rPr>
            <w:rFonts w:ascii="Avenir Next" w:hAnsi="Avenir Next"/>
            <w:color w:val="1155CC"/>
            <w:sz w:val="24"/>
            <w:szCs w:val="24"/>
            <w:u w:val="single"/>
            <w:lang w:val="en-US"/>
          </w:rPr>
          <w:t>https://doi.org/10.1016/j.ibiod.2014.09.020</w:t>
        </w:r>
      </w:hyperlink>
    </w:p>
    <w:p w14:paraId="53640F71" w14:textId="77777777" w:rsidR="002A6A69" w:rsidRPr="00B420CA"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lang w:val="en-US"/>
        </w:rPr>
        <w:t xml:space="preserve">Kogou, S., Lucian, A., Bellesia, S., Burgio, L., Bailey, K., Brooks, C. y Liang, H. (2015). A holistic multimodal approach to the non-invasive analysis of watercolour paintings. </w:t>
      </w:r>
      <w:r w:rsidRPr="002667B2">
        <w:rPr>
          <w:rFonts w:ascii="Avenir Next" w:hAnsi="Avenir Next"/>
          <w:i/>
          <w:sz w:val="24"/>
          <w:szCs w:val="24"/>
          <w:lang w:val="en-US"/>
        </w:rPr>
        <w:t>Appl. Phys. A.</w:t>
      </w:r>
      <w:r w:rsidRPr="002667B2">
        <w:rPr>
          <w:rFonts w:ascii="Avenir Next" w:hAnsi="Avenir Next"/>
          <w:sz w:val="24"/>
          <w:szCs w:val="24"/>
          <w:lang w:val="en-US"/>
        </w:rPr>
        <w:t xml:space="preserve">, </w:t>
      </w:r>
      <w:r w:rsidRPr="002667B2">
        <w:rPr>
          <w:rFonts w:ascii="Avenir Next" w:hAnsi="Avenir Next"/>
          <w:i/>
          <w:sz w:val="24"/>
          <w:szCs w:val="24"/>
          <w:lang w:val="en-US"/>
        </w:rPr>
        <w:t>121</w:t>
      </w:r>
      <w:r w:rsidRPr="002667B2">
        <w:rPr>
          <w:rFonts w:ascii="Avenir Next" w:hAnsi="Avenir Next"/>
          <w:sz w:val="24"/>
          <w:szCs w:val="24"/>
          <w:lang w:val="en-US"/>
        </w:rPr>
        <w:t xml:space="preserve">, 999-1014. </w:t>
      </w:r>
      <w:hyperlink r:id="rId41">
        <w:r w:rsidRPr="00B420CA">
          <w:rPr>
            <w:rFonts w:ascii="Avenir Next" w:hAnsi="Avenir Next"/>
            <w:color w:val="1155CC"/>
            <w:sz w:val="24"/>
            <w:szCs w:val="24"/>
            <w:u w:val="single"/>
          </w:rPr>
          <w:t>https://doi.org/10.1007/s00339-015-9425-4</w:t>
        </w:r>
      </w:hyperlink>
    </w:p>
    <w:p w14:paraId="40B14003" w14:textId="0C861CA3" w:rsidR="002A6A69" w:rsidRPr="00B420CA" w:rsidRDefault="002A6A69" w:rsidP="00D92F0A">
      <w:pPr>
        <w:spacing w:after="200" w:line="480" w:lineRule="auto"/>
        <w:ind w:left="567" w:hanging="567"/>
        <w:jc w:val="both"/>
        <w:rPr>
          <w:rFonts w:ascii="Avenir Next" w:hAnsi="Avenir Next"/>
          <w:sz w:val="24"/>
          <w:szCs w:val="24"/>
          <w:lang w:val="en-US"/>
        </w:rPr>
      </w:pPr>
      <w:r w:rsidRPr="00B420CA">
        <w:rPr>
          <w:rFonts w:ascii="Avenir Next" w:hAnsi="Avenir Next"/>
          <w:sz w:val="24"/>
          <w:szCs w:val="24"/>
        </w:rPr>
        <w:t>Kousha, M., Tadi, R. y Soubani, A.</w:t>
      </w:r>
      <w:r w:rsidR="00862C88" w:rsidRPr="00B420CA">
        <w:rPr>
          <w:rFonts w:ascii="Avenir Next" w:hAnsi="Avenir Next"/>
          <w:sz w:val="24"/>
          <w:szCs w:val="24"/>
        </w:rPr>
        <w:t xml:space="preserve"> </w:t>
      </w:r>
      <w:r w:rsidRPr="00B420CA">
        <w:rPr>
          <w:rFonts w:ascii="Avenir Next" w:hAnsi="Avenir Next"/>
          <w:sz w:val="24"/>
          <w:szCs w:val="24"/>
        </w:rPr>
        <w:t xml:space="preserve">O. (2011). </w:t>
      </w:r>
      <w:r w:rsidRPr="002667B2">
        <w:rPr>
          <w:rFonts w:ascii="Avenir Next" w:hAnsi="Avenir Next"/>
          <w:sz w:val="24"/>
          <w:szCs w:val="24"/>
          <w:lang w:val="en-US"/>
        </w:rPr>
        <w:t xml:space="preserve">Pulmonary aspergillosis: a clinical review. </w:t>
      </w:r>
      <w:r w:rsidRPr="00B420CA">
        <w:rPr>
          <w:rFonts w:ascii="Avenir Next" w:hAnsi="Avenir Next"/>
          <w:i/>
          <w:iCs/>
          <w:sz w:val="24"/>
          <w:szCs w:val="24"/>
          <w:lang w:val="en-US"/>
        </w:rPr>
        <w:t xml:space="preserve">Eur </w:t>
      </w:r>
      <w:r w:rsidRPr="00B420CA">
        <w:rPr>
          <w:rFonts w:ascii="Avenir Next" w:hAnsi="Avenir Next"/>
          <w:i/>
          <w:sz w:val="24"/>
          <w:szCs w:val="24"/>
          <w:lang w:val="en-US"/>
        </w:rPr>
        <w:t>Respir Rev, 20</w:t>
      </w:r>
      <w:r w:rsidRPr="00B420CA">
        <w:rPr>
          <w:rFonts w:ascii="Avenir Next" w:hAnsi="Avenir Next"/>
          <w:sz w:val="24"/>
          <w:szCs w:val="24"/>
          <w:lang w:val="en-US"/>
        </w:rPr>
        <w:t>, 156-174.</w:t>
      </w:r>
      <w:r w:rsidRPr="00B420CA">
        <w:rPr>
          <w:rFonts w:ascii="Avenir Next" w:hAnsi="Avenir Next"/>
          <w:color w:val="1155CC"/>
          <w:sz w:val="24"/>
          <w:szCs w:val="24"/>
          <w:u w:val="single"/>
          <w:lang w:val="en-US"/>
        </w:rPr>
        <w:t>https://doi.org/10.1183/09059180.00001011</w:t>
      </w:r>
    </w:p>
    <w:p w14:paraId="6AF18462" w14:textId="10054A4C" w:rsidR="002A6A69" w:rsidRPr="002667B2" w:rsidRDefault="002A6A69" w:rsidP="00D92F0A">
      <w:pPr>
        <w:spacing w:after="200" w:line="480" w:lineRule="auto"/>
        <w:ind w:left="567" w:hanging="567"/>
        <w:jc w:val="both"/>
        <w:rPr>
          <w:rFonts w:ascii="Avenir Next" w:hAnsi="Avenir Next"/>
          <w:color w:val="0B5394"/>
          <w:sz w:val="24"/>
          <w:szCs w:val="24"/>
          <w:lang w:val="en-US"/>
        </w:rPr>
      </w:pPr>
      <w:r w:rsidRPr="00B420CA">
        <w:rPr>
          <w:rFonts w:ascii="Avenir Next" w:hAnsi="Avenir Next"/>
          <w:sz w:val="24"/>
          <w:szCs w:val="24"/>
          <w:lang w:val="en-US"/>
        </w:rPr>
        <w:t>Kumari, S., y Sarkar, P.</w:t>
      </w:r>
      <w:r w:rsidR="00862C88" w:rsidRPr="00B420CA">
        <w:rPr>
          <w:rFonts w:ascii="Avenir Next" w:hAnsi="Avenir Next"/>
          <w:sz w:val="24"/>
          <w:szCs w:val="24"/>
          <w:lang w:val="en-US"/>
        </w:rPr>
        <w:t xml:space="preserve"> </w:t>
      </w:r>
      <w:r w:rsidRPr="00B420CA">
        <w:rPr>
          <w:rFonts w:ascii="Avenir Next" w:hAnsi="Avenir Next"/>
          <w:sz w:val="24"/>
          <w:szCs w:val="24"/>
          <w:lang w:val="en-US"/>
        </w:rPr>
        <w:t xml:space="preserve">K. (2016). </w:t>
      </w:r>
      <w:r w:rsidRPr="002667B2">
        <w:rPr>
          <w:rFonts w:ascii="Avenir Next" w:hAnsi="Avenir Next"/>
          <w:i/>
          <w:sz w:val="24"/>
          <w:szCs w:val="24"/>
          <w:lang w:val="en-US"/>
        </w:rPr>
        <w:t>Bacillus cereus</w:t>
      </w:r>
      <w:r w:rsidRPr="002667B2">
        <w:rPr>
          <w:rFonts w:ascii="Avenir Next" w:hAnsi="Avenir Next"/>
          <w:sz w:val="24"/>
          <w:szCs w:val="24"/>
          <w:lang w:val="en-US"/>
        </w:rPr>
        <w:t xml:space="preserve"> hazard and control in industrial dairy processing environment. </w:t>
      </w:r>
      <w:r w:rsidRPr="002667B2">
        <w:rPr>
          <w:rFonts w:ascii="Avenir Next" w:hAnsi="Avenir Next"/>
          <w:i/>
          <w:sz w:val="24"/>
          <w:szCs w:val="24"/>
          <w:lang w:val="en-US"/>
        </w:rPr>
        <w:t>Food Control</w:t>
      </w:r>
      <w:r w:rsidRPr="002667B2">
        <w:rPr>
          <w:rFonts w:ascii="Avenir Next" w:hAnsi="Avenir Next"/>
          <w:sz w:val="24"/>
          <w:szCs w:val="24"/>
          <w:lang w:val="en-US"/>
        </w:rPr>
        <w:t xml:space="preserve">, </w:t>
      </w:r>
      <w:r w:rsidRPr="002667B2">
        <w:rPr>
          <w:rFonts w:ascii="Avenir Next" w:hAnsi="Avenir Next"/>
          <w:i/>
          <w:iCs/>
          <w:sz w:val="24"/>
          <w:szCs w:val="24"/>
          <w:lang w:val="en-US"/>
        </w:rPr>
        <w:t>69</w:t>
      </w:r>
      <w:r w:rsidRPr="002667B2">
        <w:rPr>
          <w:rFonts w:ascii="Avenir Next" w:hAnsi="Avenir Next"/>
          <w:sz w:val="24"/>
          <w:szCs w:val="24"/>
          <w:lang w:val="en-US"/>
        </w:rPr>
        <w:t xml:space="preserve">, 20-29. </w:t>
      </w:r>
      <w:hyperlink r:id="rId42">
        <w:r w:rsidRPr="002667B2">
          <w:rPr>
            <w:rFonts w:ascii="Avenir Next" w:hAnsi="Avenir Next"/>
            <w:color w:val="1155CC"/>
            <w:sz w:val="24"/>
            <w:szCs w:val="24"/>
            <w:u w:val="single"/>
            <w:lang w:val="en-US"/>
          </w:rPr>
          <w:t>https://doi.org/10.1016/j.foodcont.2016.04.012</w:t>
        </w:r>
      </w:hyperlink>
    </w:p>
    <w:p w14:paraId="4E70A6E0"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 xml:space="preserve">Liang, H. (2012). Advances in multispectral and hyperspectral imaging for archaeology and art conservation. </w:t>
      </w:r>
      <w:r w:rsidRPr="002667B2">
        <w:rPr>
          <w:rFonts w:ascii="Avenir Next" w:hAnsi="Avenir Next"/>
          <w:i/>
          <w:sz w:val="24"/>
          <w:szCs w:val="24"/>
          <w:lang w:val="en-US"/>
        </w:rPr>
        <w:t>Appl. Phys. A.</w:t>
      </w:r>
      <w:r w:rsidRPr="002667B2">
        <w:rPr>
          <w:rFonts w:ascii="Avenir Next" w:hAnsi="Avenir Next"/>
          <w:sz w:val="24"/>
          <w:szCs w:val="24"/>
          <w:lang w:val="en-US"/>
        </w:rPr>
        <w:t xml:space="preserve">, </w:t>
      </w:r>
      <w:r w:rsidRPr="002667B2">
        <w:rPr>
          <w:rFonts w:ascii="Avenir Next" w:hAnsi="Avenir Next"/>
          <w:i/>
          <w:sz w:val="24"/>
          <w:szCs w:val="24"/>
          <w:lang w:val="en-US"/>
        </w:rPr>
        <w:t>106</w:t>
      </w:r>
      <w:r w:rsidRPr="002667B2">
        <w:rPr>
          <w:rFonts w:ascii="Avenir Next" w:hAnsi="Avenir Next"/>
          <w:sz w:val="24"/>
          <w:szCs w:val="24"/>
          <w:lang w:val="en-US"/>
        </w:rPr>
        <w:t xml:space="preserve">, 309-323. </w:t>
      </w:r>
      <w:hyperlink r:id="rId43">
        <w:r w:rsidRPr="002667B2">
          <w:rPr>
            <w:rFonts w:ascii="Avenir Next" w:hAnsi="Avenir Next"/>
            <w:color w:val="1155CC"/>
            <w:sz w:val="24"/>
            <w:szCs w:val="24"/>
            <w:u w:val="single"/>
            <w:lang w:val="en-US"/>
          </w:rPr>
          <w:t>https://doi.org/10.1007/s00339-011-6689-1</w:t>
        </w:r>
      </w:hyperlink>
    </w:p>
    <w:p w14:paraId="52BEC234" w14:textId="09083666"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Liang, T.</w:t>
      </w:r>
      <w:r w:rsidR="00862C88">
        <w:rPr>
          <w:rFonts w:ascii="Avenir Next" w:hAnsi="Avenir Next"/>
          <w:sz w:val="24"/>
          <w:szCs w:val="24"/>
          <w:lang w:val="en-US"/>
        </w:rPr>
        <w:t xml:space="preserve"> </w:t>
      </w:r>
      <w:r w:rsidRPr="002667B2">
        <w:rPr>
          <w:rFonts w:ascii="Avenir Next" w:hAnsi="Avenir Next"/>
          <w:sz w:val="24"/>
          <w:szCs w:val="24"/>
          <w:lang w:val="en-US"/>
        </w:rPr>
        <w:t>W., Chen, Y.</w:t>
      </w:r>
      <w:r w:rsidR="00862C88">
        <w:rPr>
          <w:rFonts w:ascii="Avenir Next" w:hAnsi="Avenir Next"/>
          <w:sz w:val="24"/>
          <w:szCs w:val="24"/>
          <w:lang w:val="en-US"/>
        </w:rPr>
        <w:t xml:space="preserve"> </w:t>
      </w:r>
      <w:r w:rsidRPr="002667B2">
        <w:rPr>
          <w:rFonts w:ascii="Avenir Next" w:hAnsi="Avenir Next"/>
          <w:sz w:val="24"/>
          <w:szCs w:val="24"/>
          <w:lang w:val="en-US"/>
        </w:rPr>
        <w:t>Y., Pan, P.</w:t>
      </w:r>
      <w:r w:rsidR="00862C88">
        <w:rPr>
          <w:rFonts w:ascii="Avenir Next" w:hAnsi="Avenir Next"/>
          <w:sz w:val="24"/>
          <w:szCs w:val="24"/>
          <w:lang w:val="en-US"/>
        </w:rPr>
        <w:t xml:space="preserve"> </w:t>
      </w:r>
      <w:r w:rsidRPr="002667B2">
        <w:rPr>
          <w:rFonts w:ascii="Avenir Next" w:hAnsi="Avenir Next"/>
          <w:sz w:val="24"/>
          <w:szCs w:val="24"/>
          <w:lang w:val="en-US"/>
        </w:rPr>
        <w:t>S. y Wang, S.</w:t>
      </w:r>
      <w:r w:rsidR="00862C88">
        <w:rPr>
          <w:rFonts w:ascii="Avenir Next" w:hAnsi="Avenir Next"/>
          <w:sz w:val="24"/>
          <w:szCs w:val="24"/>
          <w:lang w:val="en-US"/>
        </w:rPr>
        <w:t xml:space="preserve"> </w:t>
      </w:r>
      <w:r w:rsidRPr="002667B2">
        <w:rPr>
          <w:rFonts w:ascii="Avenir Next" w:hAnsi="Avenir Next"/>
          <w:sz w:val="24"/>
          <w:szCs w:val="24"/>
          <w:lang w:val="en-US"/>
        </w:rPr>
        <w:t xml:space="preserve">L. (2014). Purification of chitinase/chitosanase from </w:t>
      </w:r>
      <w:r w:rsidRPr="002667B2">
        <w:rPr>
          <w:rFonts w:ascii="Avenir Next" w:hAnsi="Avenir Next"/>
          <w:i/>
          <w:sz w:val="24"/>
          <w:szCs w:val="24"/>
          <w:lang w:val="en-US"/>
        </w:rPr>
        <w:t>Bacillus cereus</w:t>
      </w:r>
      <w:r w:rsidRPr="002667B2">
        <w:rPr>
          <w:rFonts w:ascii="Avenir Next" w:hAnsi="Avenir Next"/>
          <w:sz w:val="24"/>
          <w:szCs w:val="24"/>
          <w:lang w:val="en-US"/>
        </w:rPr>
        <w:t xml:space="preserve"> and discovery of an enzyme inhibitor. </w:t>
      </w:r>
      <w:r w:rsidRPr="002667B2">
        <w:rPr>
          <w:rFonts w:ascii="Avenir Next" w:hAnsi="Avenir Next"/>
          <w:i/>
          <w:sz w:val="24"/>
          <w:szCs w:val="24"/>
          <w:lang w:val="en-US"/>
        </w:rPr>
        <w:t>International Journal of Biological Macromolecules</w:t>
      </w:r>
      <w:r w:rsidRPr="002667B2">
        <w:rPr>
          <w:rFonts w:ascii="Avenir Next" w:hAnsi="Avenir Next"/>
          <w:sz w:val="24"/>
          <w:szCs w:val="24"/>
          <w:lang w:val="en-US"/>
        </w:rPr>
        <w:t xml:space="preserve">, </w:t>
      </w:r>
      <w:r w:rsidRPr="002667B2">
        <w:rPr>
          <w:rFonts w:ascii="Avenir Next" w:hAnsi="Avenir Next"/>
          <w:i/>
          <w:iCs/>
          <w:sz w:val="24"/>
          <w:szCs w:val="24"/>
          <w:lang w:val="en-US"/>
        </w:rPr>
        <w:t>63</w:t>
      </w:r>
      <w:r w:rsidRPr="002667B2">
        <w:rPr>
          <w:rFonts w:ascii="Avenir Next" w:hAnsi="Avenir Next"/>
          <w:sz w:val="24"/>
          <w:szCs w:val="24"/>
          <w:lang w:val="en-US"/>
        </w:rPr>
        <w:t xml:space="preserve">, 8-14. </w:t>
      </w:r>
      <w:hyperlink r:id="rId44">
        <w:r w:rsidRPr="002667B2">
          <w:rPr>
            <w:rFonts w:ascii="Avenir Next" w:hAnsi="Avenir Next"/>
            <w:color w:val="1155CC"/>
            <w:sz w:val="24"/>
            <w:szCs w:val="24"/>
            <w:u w:val="single"/>
            <w:lang w:val="en-US"/>
          </w:rPr>
          <w:t>https://doi.org/10.1016/j.ijbiomac.2013.10.027</w:t>
        </w:r>
      </w:hyperlink>
    </w:p>
    <w:p w14:paraId="7B2D3521" w14:textId="1C947963"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Mallo, A.</w:t>
      </w:r>
      <w:r w:rsidR="00862C88">
        <w:rPr>
          <w:rFonts w:ascii="Avenir Next" w:hAnsi="Avenir Next"/>
          <w:sz w:val="24"/>
          <w:szCs w:val="24"/>
        </w:rPr>
        <w:t xml:space="preserve"> </w:t>
      </w:r>
      <w:r w:rsidRPr="002667B2">
        <w:rPr>
          <w:rFonts w:ascii="Avenir Next" w:hAnsi="Avenir Next"/>
          <w:sz w:val="24"/>
          <w:szCs w:val="24"/>
        </w:rPr>
        <w:t>C., Nitiu, D.</w:t>
      </w:r>
      <w:r w:rsidR="00862C88">
        <w:rPr>
          <w:rFonts w:ascii="Avenir Next" w:hAnsi="Avenir Next"/>
          <w:sz w:val="24"/>
          <w:szCs w:val="24"/>
        </w:rPr>
        <w:t xml:space="preserve"> </w:t>
      </w:r>
      <w:r w:rsidRPr="002667B2">
        <w:rPr>
          <w:rFonts w:ascii="Avenir Next" w:hAnsi="Avenir Next"/>
          <w:sz w:val="24"/>
          <w:szCs w:val="24"/>
        </w:rPr>
        <w:t>S., Elíades, L.</w:t>
      </w:r>
      <w:r w:rsidR="00862C88">
        <w:rPr>
          <w:rFonts w:ascii="Avenir Next" w:hAnsi="Avenir Next"/>
          <w:sz w:val="24"/>
          <w:szCs w:val="24"/>
        </w:rPr>
        <w:t xml:space="preserve"> </w:t>
      </w:r>
      <w:r w:rsidRPr="002667B2">
        <w:rPr>
          <w:rFonts w:ascii="Avenir Next" w:hAnsi="Avenir Next"/>
          <w:sz w:val="24"/>
          <w:szCs w:val="24"/>
        </w:rPr>
        <w:t xml:space="preserve">A. y Saparrat, M. (2017). </w:t>
      </w:r>
      <w:r w:rsidRPr="002667B2">
        <w:rPr>
          <w:rFonts w:ascii="Avenir Next" w:hAnsi="Avenir Next"/>
          <w:sz w:val="24"/>
          <w:szCs w:val="24"/>
          <w:lang w:val="en-US"/>
        </w:rPr>
        <w:t xml:space="preserve">Fungal degradation of cellulosic materials used as support for cultural heritage. </w:t>
      </w:r>
      <w:r w:rsidRPr="002667B2">
        <w:rPr>
          <w:rFonts w:ascii="Avenir Next" w:hAnsi="Avenir Next"/>
          <w:i/>
          <w:sz w:val="24"/>
          <w:szCs w:val="24"/>
        </w:rPr>
        <w:t>Int. J. Conserv. Sci.,</w:t>
      </w:r>
      <w:r w:rsidRPr="002667B2">
        <w:rPr>
          <w:rFonts w:ascii="Avenir Next" w:hAnsi="Avenir Next"/>
          <w:i/>
          <w:iCs/>
          <w:sz w:val="24"/>
          <w:szCs w:val="24"/>
        </w:rPr>
        <w:t xml:space="preserve"> 8</w:t>
      </w:r>
      <w:r w:rsidRPr="002667B2">
        <w:rPr>
          <w:rFonts w:ascii="Avenir Next" w:hAnsi="Avenir Next"/>
          <w:sz w:val="24"/>
          <w:szCs w:val="24"/>
        </w:rPr>
        <w:t>(3), 619-632.</w:t>
      </w:r>
    </w:p>
    <w:p w14:paraId="105C36F1" w14:textId="07019E37"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Montero Picado, C.</w:t>
      </w:r>
      <w:r w:rsidR="00862C88">
        <w:rPr>
          <w:rFonts w:ascii="Avenir Next" w:hAnsi="Avenir Next"/>
          <w:sz w:val="24"/>
          <w:szCs w:val="24"/>
        </w:rPr>
        <w:t xml:space="preserve"> </w:t>
      </w:r>
      <w:r w:rsidRPr="002667B2">
        <w:rPr>
          <w:rFonts w:ascii="Avenir Next" w:hAnsi="Avenir Next"/>
          <w:sz w:val="24"/>
          <w:szCs w:val="24"/>
        </w:rPr>
        <w:t xml:space="preserve">G. (2015). </w:t>
      </w:r>
      <w:r w:rsidRPr="002667B2">
        <w:rPr>
          <w:rFonts w:ascii="Avenir Next" w:hAnsi="Avenir Next"/>
          <w:i/>
          <w:sz w:val="24"/>
          <w:szCs w:val="24"/>
        </w:rPr>
        <w:t xml:space="preserve">Arte costarricense 1897-1971. </w:t>
      </w:r>
      <w:r w:rsidRPr="002667B2">
        <w:rPr>
          <w:rFonts w:ascii="Avenir Next" w:hAnsi="Avenir Next"/>
          <w:sz w:val="24"/>
          <w:szCs w:val="24"/>
        </w:rPr>
        <w:t xml:space="preserve">Editorial de la Universidad de Costa Rica. </w:t>
      </w:r>
    </w:p>
    <w:p w14:paraId="3CB46A15" w14:textId="641F4FE3"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rPr>
        <w:t>Morice, J. G., Benavides-Rodríguez, J., Conejo-Barboza, G., Marín, C., Montero, M. L. y Herrera-Sancho, O.</w:t>
      </w:r>
      <w:r w:rsidR="00862C88">
        <w:rPr>
          <w:rFonts w:ascii="Avenir Next" w:hAnsi="Avenir Next"/>
          <w:sz w:val="24"/>
          <w:szCs w:val="24"/>
        </w:rPr>
        <w:t xml:space="preserve"> </w:t>
      </w:r>
      <w:r w:rsidRPr="002667B2">
        <w:rPr>
          <w:rFonts w:ascii="Avenir Next" w:hAnsi="Avenir Next"/>
          <w:sz w:val="24"/>
          <w:szCs w:val="24"/>
        </w:rPr>
        <w:t xml:space="preserve">A. (2019). </w:t>
      </w:r>
      <w:r w:rsidRPr="002667B2">
        <w:rPr>
          <w:rFonts w:ascii="Avenir Next" w:hAnsi="Avenir Next"/>
          <w:sz w:val="24"/>
          <w:szCs w:val="24"/>
          <w:lang w:val="en-US"/>
        </w:rPr>
        <w:t xml:space="preserve">A Brief Insight Into the Secrets of the 120-Year-Old Main Curtain of the </w:t>
      </w:r>
      <w:r w:rsidRPr="002667B2">
        <w:rPr>
          <w:rFonts w:ascii="Avenir Next" w:hAnsi="Avenir Next"/>
          <w:sz w:val="24"/>
          <w:szCs w:val="24"/>
          <w:lang w:val="en-US"/>
        </w:rPr>
        <w:lastRenderedPageBreak/>
        <w:t xml:space="preserve">National Theatre of Costa Rica Through Non-Destructive Characterization Techniques. </w:t>
      </w:r>
      <w:r w:rsidRPr="002667B2">
        <w:rPr>
          <w:rFonts w:ascii="Avenir Next" w:hAnsi="Avenir Next"/>
          <w:i/>
          <w:sz w:val="24"/>
          <w:szCs w:val="24"/>
          <w:lang w:val="en-US"/>
        </w:rPr>
        <w:t>Journal of Conservation and Museum Studies,</w:t>
      </w:r>
      <w:r w:rsidRPr="002667B2">
        <w:rPr>
          <w:rFonts w:ascii="Avenir Next" w:hAnsi="Avenir Next"/>
          <w:sz w:val="24"/>
          <w:szCs w:val="24"/>
          <w:lang w:val="en-US"/>
        </w:rPr>
        <w:t xml:space="preserve"> </w:t>
      </w:r>
      <w:r w:rsidRPr="002667B2">
        <w:rPr>
          <w:rFonts w:ascii="Avenir Next" w:hAnsi="Avenir Next"/>
          <w:i/>
          <w:sz w:val="24"/>
          <w:szCs w:val="24"/>
          <w:lang w:val="en-US"/>
        </w:rPr>
        <w:t>17</w:t>
      </w:r>
      <w:r w:rsidRPr="002667B2">
        <w:rPr>
          <w:rFonts w:ascii="Avenir Next" w:hAnsi="Avenir Next"/>
          <w:sz w:val="24"/>
          <w:szCs w:val="24"/>
          <w:lang w:val="en-US"/>
        </w:rPr>
        <w:t xml:space="preserve">(1), 1-10. </w:t>
      </w:r>
      <w:hyperlink r:id="rId45">
        <w:r w:rsidRPr="002667B2">
          <w:rPr>
            <w:rFonts w:ascii="Avenir Next" w:hAnsi="Avenir Next"/>
            <w:color w:val="1155CC"/>
            <w:sz w:val="24"/>
            <w:szCs w:val="24"/>
            <w:u w:val="single"/>
            <w:lang w:val="en-US"/>
          </w:rPr>
          <w:t>https://doi.org/10.5334/jcms.172</w:t>
        </w:r>
      </w:hyperlink>
    </w:p>
    <w:p w14:paraId="705679BF"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rPr>
        <w:t xml:space="preserve">Mosca Conte, A., Pulci, O., Knapik, A., Bagniuk, J., del Sole, R., Lojewska, J. y Missori, M. (2012). </w:t>
      </w:r>
      <w:r w:rsidRPr="002667B2">
        <w:rPr>
          <w:rFonts w:ascii="Avenir Next" w:hAnsi="Avenir Next"/>
          <w:sz w:val="24"/>
          <w:szCs w:val="24"/>
          <w:lang w:val="en-US"/>
        </w:rPr>
        <w:t xml:space="preserve">Role of cellulose oxidation in the yellowing of ancient paper. </w:t>
      </w:r>
      <w:r w:rsidRPr="002667B2">
        <w:rPr>
          <w:rFonts w:ascii="Avenir Next" w:hAnsi="Avenir Next"/>
          <w:i/>
          <w:sz w:val="24"/>
          <w:szCs w:val="24"/>
          <w:lang w:val="en-US"/>
        </w:rPr>
        <w:t>Physical Review Letters</w:t>
      </w:r>
      <w:r w:rsidRPr="002667B2">
        <w:rPr>
          <w:rFonts w:ascii="Avenir Next" w:hAnsi="Avenir Next"/>
          <w:sz w:val="24"/>
          <w:szCs w:val="24"/>
          <w:lang w:val="en-US"/>
        </w:rPr>
        <w:t xml:space="preserve">, </w:t>
      </w:r>
      <w:r w:rsidRPr="002667B2">
        <w:rPr>
          <w:rFonts w:ascii="Avenir Next" w:hAnsi="Avenir Next"/>
          <w:i/>
          <w:sz w:val="24"/>
          <w:szCs w:val="24"/>
          <w:lang w:val="en-US"/>
        </w:rPr>
        <w:t>108</w:t>
      </w:r>
      <w:r w:rsidRPr="002667B2">
        <w:rPr>
          <w:rFonts w:ascii="Avenir Next" w:hAnsi="Avenir Next"/>
          <w:sz w:val="24"/>
          <w:szCs w:val="24"/>
          <w:lang w:val="en-US"/>
        </w:rPr>
        <w:t>(15).</w:t>
      </w:r>
      <w:hyperlink r:id="rId46">
        <w:r w:rsidRPr="002667B2">
          <w:rPr>
            <w:rFonts w:ascii="Avenir Next" w:hAnsi="Avenir Next"/>
            <w:color w:val="1155CC"/>
            <w:sz w:val="24"/>
            <w:szCs w:val="24"/>
            <w:u w:val="single"/>
            <w:lang w:val="en-US"/>
          </w:rPr>
          <w:t xml:space="preserve"> https://doi.org/10.1103/physrevlett.108.158301</w:t>
        </w:r>
      </w:hyperlink>
    </w:p>
    <w:p w14:paraId="40899796" w14:textId="77777777"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lang w:val="en-US"/>
        </w:rPr>
        <w:t xml:space="preserve">Museo de Arte Costarricense. </w:t>
      </w:r>
      <w:r w:rsidRPr="002667B2">
        <w:rPr>
          <w:rFonts w:ascii="Avenir Next" w:hAnsi="Avenir Next"/>
          <w:sz w:val="24"/>
          <w:szCs w:val="24"/>
        </w:rPr>
        <w:t xml:space="preserve">(2013). </w:t>
      </w:r>
      <w:r w:rsidRPr="002667B2">
        <w:rPr>
          <w:rFonts w:ascii="Avenir Next" w:hAnsi="Avenir Next"/>
          <w:i/>
          <w:sz w:val="24"/>
          <w:szCs w:val="24"/>
        </w:rPr>
        <w:t>Las posibilidades de la mirada. Representaciones en la plástica costarricense (</w:t>
      </w:r>
      <w:r w:rsidRPr="002667B2">
        <w:rPr>
          <w:rFonts w:ascii="Avenir Next" w:hAnsi="Avenir Next"/>
          <w:sz w:val="24"/>
          <w:szCs w:val="24"/>
        </w:rPr>
        <w:t xml:space="preserve">2da edición). Gabriela Sáenz-Shelby (et. al). Textos por Gabriela Sáenz-Shelby, María José Monge, Esteban Calvo, Adriana Collado. Museo de Arte Costarricense. </w:t>
      </w:r>
    </w:p>
    <w:p w14:paraId="7989316D" w14:textId="77777777"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 xml:space="preserve">Namasivayam, E., D, J.R., K, M., Jiji, A., Kumar, M. y Jayaraj, R.L. (2011). </w:t>
      </w:r>
      <w:r w:rsidRPr="002667B2">
        <w:rPr>
          <w:rFonts w:ascii="Avenir Next" w:hAnsi="Avenir Next"/>
          <w:sz w:val="24"/>
          <w:szCs w:val="24"/>
          <w:lang w:val="en-US"/>
        </w:rPr>
        <w:t xml:space="preserve">Production of Extracellular Pectinase by Bacillus Cereus Isolated From Market Solid Waste. </w:t>
      </w:r>
      <w:r w:rsidRPr="002667B2">
        <w:rPr>
          <w:rFonts w:ascii="Avenir Next" w:hAnsi="Avenir Next"/>
          <w:i/>
          <w:sz w:val="24"/>
          <w:szCs w:val="24"/>
        </w:rPr>
        <w:t>J Bioanal Biomed</w:t>
      </w:r>
      <w:r w:rsidRPr="002667B2">
        <w:rPr>
          <w:rFonts w:ascii="Avenir Next" w:hAnsi="Avenir Next"/>
          <w:sz w:val="24"/>
          <w:szCs w:val="24"/>
        </w:rPr>
        <w:t xml:space="preserve">., </w:t>
      </w:r>
      <w:r w:rsidRPr="002667B2">
        <w:rPr>
          <w:rFonts w:ascii="Avenir Next" w:hAnsi="Avenir Next"/>
          <w:i/>
          <w:iCs/>
          <w:sz w:val="24"/>
          <w:szCs w:val="24"/>
        </w:rPr>
        <w:t>3</w:t>
      </w:r>
      <w:r w:rsidRPr="002667B2">
        <w:rPr>
          <w:rFonts w:ascii="Avenir Next" w:hAnsi="Avenir Next"/>
          <w:sz w:val="24"/>
          <w:szCs w:val="24"/>
        </w:rPr>
        <w:t xml:space="preserve">(3), 70-75. </w:t>
      </w:r>
      <w:hyperlink r:id="rId47">
        <w:r w:rsidRPr="002667B2">
          <w:rPr>
            <w:rFonts w:ascii="Avenir Next" w:hAnsi="Avenir Next"/>
            <w:color w:val="1155CC"/>
            <w:sz w:val="24"/>
            <w:szCs w:val="24"/>
            <w:u w:val="single"/>
          </w:rPr>
          <w:t>http://dx.doi.org/10.4172/1948-593X.1000046</w:t>
        </w:r>
      </w:hyperlink>
    </w:p>
    <w:p w14:paraId="1F3A1DEF" w14:textId="77777777"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 xml:space="preserve">Paine, C. y Ambrose, T. (2012). </w:t>
      </w:r>
      <w:r w:rsidRPr="002667B2">
        <w:rPr>
          <w:rFonts w:ascii="Avenir Next" w:hAnsi="Avenir Next"/>
          <w:i/>
          <w:sz w:val="24"/>
          <w:szCs w:val="24"/>
        </w:rPr>
        <w:t>Museum Basics</w:t>
      </w:r>
      <w:r w:rsidRPr="002667B2">
        <w:rPr>
          <w:rFonts w:ascii="Avenir Next" w:hAnsi="Avenir Next"/>
          <w:sz w:val="24"/>
          <w:szCs w:val="24"/>
        </w:rPr>
        <w:t>. Routledge.</w:t>
      </w:r>
    </w:p>
    <w:p w14:paraId="139B0CB4"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rPr>
        <w:t xml:space="preserve">Poyatos-Jiménez, F., Morales, F., Morales-Carrera, R., Boffo, S., Giordano, A. y Romero-Noguera, J. (2021). </w:t>
      </w:r>
      <w:r w:rsidRPr="002667B2">
        <w:rPr>
          <w:rFonts w:ascii="Avenir Next" w:hAnsi="Avenir Next"/>
          <w:sz w:val="24"/>
          <w:szCs w:val="24"/>
          <w:lang w:val="en-US"/>
        </w:rPr>
        <w:t>Fungal and Bacterial Biodeterioration of Outdoor Canvas Paintings: The Case of the Cloisters of Quito, Ecuador.</w:t>
      </w:r>
      <w:r w:rsidRPr="002667B2">
        <w:rPr>
          <w:rFonts w:ascii="Avenir Next" w:hAnsi="Avenir Next"/>
          <w:i/>
          <w:sz w:val="24"/>
          <w:szCs w:val="24"/>
          <w:lang w:val="en-US"/>
        </w:rPr>
        <w:t xml:space="preserve"> Critical ReviewsTM in Eukaryotic Gene Expression</w:t>
      </w:r>
      <w:r w:rsidRPr="002667B2">
        <w:rPr>
          <w:rFonts w:ascii="Avenir Next" w:hAnsi="Avenir Next"/>
          <w:sz w:val="24"/>
          <w:szCs w:val="24"/>
          <w:lang w:val="en-US"/>
        </w:rPr>
        <w:t xml:space="preserve">, </w:t>
      </w:r>
      <w:r w:rsidRPr="002667B2">
        <w:rPr>
          <w:rFonts w:ascii="Avenir Next" w:hAnsi="Avenir Next"/>
          <w:i/>
          <w:iCs/>
          <w:sz w:val="24"/>
          <w:szCs w:val="24"/>
          <w:lang w:val="en-US"/>
        </w:rPr>
        <w:t>31</w:t>
      </w:r>
      <w:r w:rsidRPr="002667B2">
        <w:rPr>
          <w:rFonts w:ascii="Avenir Next" w:hAnsi="Avenir Next"/>
          <w:sz w:val="24"/>
          <w:szCs w:val="24"/>
          <w:lang w:val="en-US"/>
        </w:rPr>
        <w:t>(3), 45-63.</w:t>
      </w:r>
    </w:p>
    <w:p w14:paraId="3E4315AE" w14:textId="77777777" w:rsidR="002A6A69" w:rsidRPr="002667B2" w:rsidRDefault="002A6A69" w:rsidP="00D92F0A">
      <w:pPr>
        <w:widowControl w:val="0"/>
        <w:spacing w:after="200" w:line="480" w:lineRule="auto"/>
        <w:ind w:left="567" w:hanging="567"/>
        <w:jc w:val="both"/>
        <w:rPr>
          <w:rFonts w:ascii="Avenir Next" w:hAnsi="Avenir Next"/>
          <w:sz w:val="24"/>
          <w:szCs w:val="24"/>
        </w:rPr>
      </w:pPr>
      <w:r w:rsidRPr="002667B2">
        <w:rPr>
          <w:rFonts w:ascii="Avenir Next" w:hAnsi="Avenir Next"/>
          <w:sz w:val="24"/>
          <w:szCs w:val="24"/>
          <w:lang w:val="en-US"/>
        </w:rPr>
        <w:t xml:space="preserve">Pyzik, A., Ciuchcinski, K., Dziurzynski, M. y Dziewit, L. (2021). The Bad and the Good—Microorganisms in Cultural Heritage Environments—An Update on Biodeterioration and Biotreatment Approaches. </w:t>
      </w:r>
      <w:r w:rsidRPr="002667B2">
        <w:rPr>
          <w:rFonts w:ascii="Avenir Next" w:hAnsi="Avenir Next"/>
          <w:i/>
          <w:sz w:val="24"/>
          <w:szCs w:val="24"/>
        </w:rPr>
        <w:t xml:space="preserve">Materials, </w:t>
      </w:r>
      <w:r w:rsidRPr="002667B2">
        <w:rPr>
          <w:rFonts w:ascii="Avenir Next" w:hAnsi="Avenir Next"/>
          <w:i/>
          <w:iCs/>
          <w:sz w:val="24"/>
          <w:szCs w:val="24"/>
        </w:rPr>
        <w:t>14</w:t>
      </w:r>
      <w:r w:rsidRPr="002667B2">
        <w:rPr>
          <w:rFonts w:ascii="Avenir Next" w:hAnsi="Avenir Next"/>
          <w:sz w:val="24"/>
          <w:szCs w:val="24"/>
        </w:rPr>
        <w:t xml:space="preserve">(177). </w:t>
      </w:r>
      <w:hyperlink r:id="rId48">
        <w:r w:rsidRPr="002667B2">
          <w:rPr>
            <w:rFonts w:ascii="Avenir Next" w:hAnsi="Avenir Next"/>
            <w:color w:val="1155CC"/>
            <w:sz w:val="24"/>
            <w:szCs w:val="24"/>
            <w:u w:val="single"/>
          </w:rPr>
          <w:t>https://doi.org/10.3390/ma14010177</w:t>
        </w:r>
      </w:hyperlink>
    </w:p>
    <w:p w14:paraId="2EA38835" w14:textId="2048A23D"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Rojas González, J.</w:t>
      </w:r>
      <w:r w:rsidR="00862C88">
        <w:rPr>
          <w:rFonts w:ascii="Avenir Next" w:hAnsi="Avenir Next"/>
          <w:sz w:val="24"/>
          <w:szCs w:val="24"/>
        </w:rPr>
        <w:t xml:space="preserve"> </w:t>
      </w:r>
      <w:r w:rsidRPr="002667B2">
        <w:rPr>
          <w:rFonts w:ascii="Avenir Next" w:hAnsi="Avenir Next"/>
          <w:sz w:val="24"/>
          <w:szCs w:val="24"/>
        </w:rPr>
        <w:t xml:space="preserve">M. (1990). </w:t>
      </w:r>
      <w:r w:rsidRPr="002667B2">
        <w:rPr>
          <w:rFonts w:ascii="Avenir Next" w:hAnsi="Avenir Next"/>
          <w:i/>
          <w:iCs/>
          <w:sz w:val="24"/>
          <w:szCs w:val="24"/>
        </w:rPr>
        <w:t>Costa Rica en el arte. Colección de artes plásticas Banco Central de Costa Rica</w:t>
      </w:r>
      <w:r w:rsidRPr="002667B2">
        <w:rPr>
          <w:rFonts w:ascii="Avenir Next" w:hAnsi="Avenir Next"/>
          <w:sz w:val="24"/>
          <w:szCs w:val="24"/>
        </w:rPr>
        <w:t>. Museos del Banco Central de Costa Rica.</w:t>
      </w:r>
    </w:p>
    <w:p w14:paraId="52AD247B" w14:textId="1D84D1C8"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rPr>
        <w:lastRenderedPageBreak/>
        <w:t>Romero, S. M., Giudicessi, S. L. y Vitale, R.</w:t>
      </w:r>
      <w:r w:rsidR="00862C88">
        <w:rPr>
          <w:rFonts w:ascii="Avenir Next" w:hAnsi="Avenir Next"/>
          <w:sz w:val="24"/>
          <w:szCs w:val="24"/>
        </w:rPr>
        <w:t xml:space="preserve"> </w:t>
      </w:r>
      <w:r w:rsidRPr="002667B2">
        <w:rPr>
          <w:rFonts w:ascii="Avenir Next" w:hAnsi="Avenir Next"/>
          <w:sz w:val="24"/>
          <w:szCs w:val="24"/>
        </w:rPr>
        <w:t xml:space="preserve">G. (2021). </w:t>
      </w:r>
      <w:r w:rsidRPr="002667B2">
        <w:rPr>
          <w:rFonts w:ascii="Avenir Next" w:hAnsi="Avenir Next"/>
          <w:sz w:val="24"/>
          <w:szCs w:val="24"/>
          <w:lang w:val="en-US"/>
        </w:rPr>
        <w:t xml:space="preserve">Is the fungus Aspergillus a threat to cultural heritage? </w:t>
      </w:r>
      <w:r w:rsidRPr="002667B2">
        <w:rPr>
          <w:rFonts w:ascii="Avenir Next" w:hAnsi="Avenir Next"/>
          <w:i/>
          <w:sz w:val="24"/>
          <w:szCs w:val="24"/>
          <w:lang w:val="en-US"/>
        </w:rPr>
        <w:t>Journal of Cultural Heritage</w:t>
      </w:r>
      <w:r w:rsidRPr="002667B2">
        <w:rPr>
          <w:rFonts w:ascii="Avenir Next" w:hAnsi="Avenir Next"/>
          <w:sz w:val="24"/>
          <w:szCs w:val="24"/>
          <w:lang w:val="en-US"/>
        </w:rPr>
        <w:t xml:space="preserve">, </w:t>
      </w:r>
      <w:r w:rsidRPr="002667B2">
        <w:rPr>
          <w:rFonts w:ascii="Avenir Next" w:hAnsi="Avenir Next"/>
          <w:i/>
          <w:sz w:val="24"/>
          <w:szCs w:val="24"/>
          <w:lang w:val="en-US"/>
        </w:rPr>
        <w:t>51</w:t>
      </w:r>
      <w:r w:rsidRPr="002667B2">
        <w:rPr>
          <w:rFonts w:ascii="Avenir Next" w:hAnsi="Avenir Next"/>
          <w:sz w:val="24"/>
          <w:szCs w:val="24"/>
          <w:lang w:val="en-US"/>
        </w:rPr>
        <w:t xml:space="preserve">, 107–124. </w:t>
      </w:r>
      <w:hyperlink r:id="rId49">
        <w:r w:rsidRPr="002667B2">
          <w:rPr>
            <w:rFonts w:ascii="Avenir Next" w:hAnsi="Avenir Next"/>
            <w:color w:val="1155CC"/>
            <w:sz w:val="24"/>
            <w:szCs w:val="24"/>
            <w:u w:val="single"/>
            <w:lang w:val="en-US"/>
          </w:rPr>
          <w:t>https://doi.org/10.1016/j.culher.2021.08.002</w:t>
        </w:r>
      </w:hyperlink>
    </w:p>
    <w:p w14:paraId="575D6A9C" w14:textId="0B70B469" w:rsidR="002A6A69" w:rsidRPr="002667B2" w:rsidRDefault="002A6A69" w:rsidP="00D92F0A">
      <w:pPr>
        <w:spacing w:after="200" w:line="480" w:lineRule="auto"/>
        <w:ind w:left="567" w:hanging="567"/>
        <w:jc w:val="both"/>
        <w:rPr>
          <w:rFonts w:ascii="Avenir Next" w:hAnsi="Avenir Next"/>
          <w:sz w:val="24"/>
          <w:szCs w:val="24"/>
        </w:rPr>
      </w:pPr>
      <w:r w:rsidRPr="00B420CA">
        <w:rPr>
          <w:rFonts w:ascii="Avenir Next" w:hAnsi="Avenir Next"/>
          <w:sz w:val="24"/>
          <w:szCs w:val="24"/>
          <w:lang w:val="en-US"/>
        </w:rPr>
        <w:t>Salas-Campos, I., Gross-Martínez, N.</w:t>
      </w:r>
      <w:r w:rsidR="00862C88" w:rsidRPr="00B420CA">
        <w:rPr>
          <w:rFonts w:ascii="Avenir Next" w:hAnsi="Avenir Next"/>
          <w:sz w:val="24"/>
          <w:szCs w:val="24"/>
          <w:lang w:val="en-US"/>
        </w:rPr>
        <w:t xml:space="preserve"> </w:t>
      </w:r>
      <w:r w:rsidRPr="00B420CA">
        <w:rPr>
          <w:rFonts w:ascii="Avenir Next" w:hAnsi="Avenir Next"/>
          <w:sz w:val="24"/>
          <w:szCs w:val="24"/>
          <w:lang w:val="en-US"/>
        </w:rPr>
        <w:t xml:space="preserve">T. y Hernández-Chavarría, F. (2010). </w:t>
      </w:r>
      <w:r w:rsidRPr="002667B2">
        <w:rPr>
          <w:rFonts w:ascii="Avenir Next" w:hAnsi="Avenir Next"/>
          <w:sz w:val="24"/>
          <w:szCs w:val="24"/>
        </w:rPr>
        <w:t xml:space="preserve">Aspectos generales de la esporulación en hongos. </w:t>
      </w:r>
      <w:r w:rsidRPr="002667B2">
        <w:rPr>
          <w:rFonts w:ascii="Avenir Next" w:hAnsi="Avenir Next"/>
          <w:i/>
          <w:sz w:val="24"/>
          <w:szCs w:val="24"/>
        </w:rPr>
        <w:t>Revista del Colegio de Microbiólogos y Químicos Clínicos de Costa Rica, 16</w:t>
      </w:r>
      <w:r w:rsidRPr="002667B2">
        <w:rPr>
          <w:rFonts w:ascii="Avenir Next" w:hAnsi="Avenir Next"/>
          <w:sz w:val="24"/>
          <w:szCs w:val="24"/>
        </w:rPr>
        <w:t>(2), 11-15.</w:t>
      </w:r>
    </w:p>
    <w:p w14:paraId="35CFBA0A" w14:textId="77777777" w:rsidR="002A6A69" w:rsidRPr="002667B2" w:rsidRDefault="002A6A69" w:rsidP="00D92F0A">
      <w:pPr>
        <w:spacing w:after="200" w:line="480" w:lineRule="auto"/>
        <w:ind w:left="567" w:hanging="567"/>
        <w:jc w:val="both"/>
        <w:rPr>
          <w:rFonts w:ascii="Avenir Next" w:hAnsi="Avenir Next"/>
          <w:sz w:val="24"/>
          <w:szCs w:val="24"/>
          <w:lang w:val="es-ES"/>
        </w:rPr>
      </w:pPr>
      <w:r w:rsidRPr="002667B2">
        <w:rPr>
          <w:rFonts w:ascii="Avenir Next" w:hAnsi="Avenir Next"/>
          <w:sz w:val="24"/>
          <w:szCs w:val="24"/>
        </w:rPr>
        <w:t xml:space="preserve">Sánchez Zumbado, J. (2016). Arte y Curriculum: La Escuela de Artes Plásticas de la Universidad de Costa Rica (1897-2015). </w:t>
      </w:r>
      <w:r w:rsidRPr="000E175A">
        <w:rPr>
          <w:rFonts w:ascii="Avenir Next" w:hAnsi="Avenir Next"/>
          <w:i/>
          <w:iCs/>
          <w:sz w:val="24"/>
          <w:szCs w:val="24"/>
          <w:lang w:val="es-ES"/>
        </w:rPr>
        <w:t>Humanidades</w:t>
      </w:r>
      <w:r w:rsidRPr="002667B2">
        <w:rPr>
          <w:rFonts w:ascii="Avenir Next" w:hAnsi="Avenir Next"/>
          <w:sz w:val="24"/>
          <w:szCs w:val="24"/>
          <w:lang w:val="es-ES"/>
        </w:rPr>
        <w:t xml:space="preserve">, </w:t>
      </w:r>
      <w:r w:rsidRPr="002667B2">
        <w:rPr>
          <w:rFonts w:ascii="Avenir Next" w:hAnsi="Avenir Next"/>
          <w:i/>
          <w:iCs/>
          <w:sz w:val="24"/>
          <w:szCs w:val="24"/>
          <w:lang w:val="es-ES"/>
        </w:rPr>
        <w:t>6</w:t>
      </w:r>
      <w:r w:rsidRPr="002667B2">
        <w:rPr>
          <w:rFonts w:ascii="Avenir Next" w:hAnsi="Avenir Next"/>
          <w:sz w:val="24"/>
          <w:szCs w:val="24"/>
          <w:lang w:val="es-ES"/>
        </w:rPr>
        <w:t xml:space="preserve">(1),141-180. </w:t>
      </w:r>
    </w:p>
    <w:p w14:paraId="7D20E387" w14:textId="068AD326" w:rsidR="002A6A69" w:rsidRPr="002667B2" w:rsidRDefault="002A6A69" w:rsidP="00D92F0A">
      <w:pPr>
        <w:spacing w:after="200" w:line="480" w:lineRule="auto"/>
        <w:ind w:left="567" w:hanging="567"/>
        <w:jc w:val="both"/>
        <w:rPr>
          <w:rFonts w:ascii="Avenir Next" w:hAnsi="Avenir Next"/>
          <w:sz w:val="24"/>
          <w:szCs w:val="24"/>
          <w:lang w:val="es-ES"/>
        </w:rPr>
      </w:pPr>
      <w:r w:rsidRPr="002667B2">
        <w:rPr>
          <w:rFonts w:ascii="Avenir Next" w:hAnsi="Avenir Next"/>
          <w:sz w:val="24"/>
          <w:szCs w:val="24"/>
          <w:lang w:val="es-ES"/>
        </w:rPr>
        <w:t>Sandoval-Denis, M., Gené, J., Sutton, D.</w:t>
      </w:r>
      <w:r w:rsidR="00862C88">
        <w:rPr>
          <w:rFonts w:ascii="Avenir Next" w:hAnsi="Avenir Next"/>
          <w:sz w:val="24"/>
          <w:szCs w:val="24"/>
          <w:lang w:val="es-ES"/>
        </w:rPr>
        <w:t xml:space="preserve"> </w:t>
      </w:r>
      <w:r w:rsidRPr="002667B2">
        <w:rPr>
          <w:rFonts w:ascii="Avenir Next" w:hAnsi="Avenir Next"/>
          <w:sz w:val="24"/>
          <w:szCs w:val="24"/>
          <w:lang w:val="es-ES"/>
        </w:rPr>
        <w:t>A., Wiederhold, N.</w:t>
      </w:r>
      <w:r w:rsidR="00862C88">
        <w:rPr>
          <w:rFonts w:ascii="Avenir Next" w:hAnsi="Avenir Next"/>
          <w:sz w:val="24"/>
          <w:szCs w:val="24"/>
          <w:lang w:val="es-ES"/>
        </w:rPr>
        <w:t xml:space="preserve"> </w:t>
      </w:r>
      <w:r w:rsidRPr="002667B2">
        <w:rPr>
          <w:rFonts w:ascii="Avenir Next" w:hAnsi="Avenir Next"/>
          <w:sz w:val="24"/>
          <w:szCs w:val="24"/>
          <w:lang w:val="es-ES"/>
        </w:rPr>
        <w:t>P., Cano-Lira, J.</w:t>
      </w:r>
      <w:r w:rsidR="00862C88">
        <w:rPr>
          <w:rFonts w:ascii="Avenir Next" w:hAnsi="Avenir Next"/>
          <w:sz w:val="24"/>
          <w:szCs w:val="24"/>
          <w:lang w:val="es-ES"/>
        </w:rPr>
        <w:t xml:space="preserve"> </w:t>
      </w:r>
      <w:r w:rsidRPr="002667B2">
        <w:rPr>
          <w:rFonts w:ascii="Avenir Next" w:hAnsi="Avenir Next"/>
          <w:sz w:val="24"/>
          <w:szCs w:val="24"/>
          <w:lang w:val="es-ES"/>
        </w:rPr>
        <w:t xml:space="preserve">F. y Guarro, J. (2016). </w:t>
      </w:r>
      <w:r w:rsidRPr="002667B2">
        <w:rPr>
          <w:rFonts w:ascii="Avenir Next" w:hAnsi="Avenir Next"/>
          <w:sz w:val="24"/>
          <w:szCs w:val="24"/>
          <w:lang w:val="en-US"/>
        </w:rPr>
        <w:t xml:space="preserve">New species of </w:t>
      </w:r>
      <w:r w:rsidRPr="002667B2">
        <w:rPr>
          <w:rFonts w:ascii="Avenir Next" w:hAnsi="Avenir Next"/>
          <w:i/>
          <w:sz w:val="24"/>
          <w:szCs w:val="24"/>
          <w:lang w:val="en-US"/>
        </w:rPr>
        <w:t>Cladosporium</w:t>
      </w:r>
      <w:r w:rsidRPr="002667B2">
        <w:rPr>
          <w:rFonts w:ascii="Avenir Next" w:hAnsi="Avenir Next"/>
          <w:sz w:val="24"/>
          <w:szCs w:val="24"/>
          <w:lang w:val="en-US"/>
        </w:rPr>
        <w:t xml:space="preserve"> associated with human and animal infections. </w:t>
      </w:r>
      <w:r w:rsidRPr="002667B2">
        <w:rPr>
          <w:rFonts w:ascii="Avenir Next" w:hAnsi="Avenir Next"/>
          <w:i/>
          <w:iCs/>
          <w:sz w:val="24"/>
          <w:szCs w:val="24"/>
          <w:lang w:val="es-ES"/>
        </w:rPr>
        <w:t>Persoonia</w:t>
      </w:r>
      <w:r w:rsidRPr="002667B2">
        <w:rPr>
          <w:rFonts w:ascii="Avenir Next" w:hAnsi="Avenir Next"/>
          <w:sz w:val="24"/>
          <w:szCs w:val="24"/>
          <w:lang w:val="es-ES"/>
        </w:rPr>
        <w:t xml:space="preserve">, </w:t>
      </w:r>
      <w:r w:rsidRPr="002667B2">
        <w:rPr>
          <w:rFonts w:ascii="Avenir Next" w:hAnsi="Avenir Next"/>
          <w:i/>
          <w:iCs/>
          <w:sz w:val="24"/>
          <w:szCs w:val="24"/>
          <w:lang w:val="es-ES"/>
        </w:rPr>
        <w:t>36</w:t>
      </w:r>
      <w:r w:rsidRPr="002667B2">
        <w:rPr>
          <w:rFonts w:ascii="Avenir Next" w:hAnsi="Avenir Next"/>
          <w:sz w:val="24"/>
          <w:szCs w:val="24"/>
          <w:lang w:val="es-ES"/>
        </w:rPr>
        <w:t xml:space="preserve">, 281-298. </w:t>
      </w:r>
      <w:r w:rsidRPr="002667B2">
        <w:rPr>
          <w:rFonts w:ascii="Avenir Next" w:hAnsi="Avenir Next"/>
          <w:color w:val="1155CC"/>
          <w:sz w:val="24"/>
          <w:szCs w:val="24"/>
          <w:u w:val="single"/>
          <w:lang w:val="es-ES"/>
        </w:rPr>
        <w:t>http://dx.doi.org/10.3767/003158516X691951</w:t>
      </w:r>
    </w:p>
    <w:p w14:paraId="71C5A056"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rPr>
        <w:t xml:space="preserve">Saverwyns, S., Currie, C. y Lamas-Delgado, E. (2018). </w:t>
      </w:r>
      <w:r w:rsidRPr="002667B2">
        <w:rPr>
          <w:rFonts w:ascii="Avenir Next" w:hAnsi="Avenir Next"/>
          <w:sz w:val="24"/>
          <w:szCs w:val="24"/>
          <w:lang w:val="en-US"/>
        </w:rPr>
        <w:t xml:space="preserve">Macro X-ray fluorescence scanning (MA-XRF) as tool in the authentication of paintings. </w:t>
      </w:r>
      <w:r w:rsidRPr="002667B2">
        <w:rPr>
          <w:rFonts w:ascii="Avenir Next" w:hAnsi="Avenir Next"/>
          <w:i/>
          <w:sz w:val="24"/>
          <w:szCs w:val="24"/>
          <w:lang w:val="en-US"/>
        </w:rPr>
        <w:t>Microchemical Journal</w:t>
      </w:r>
      <w:r w:rsidRPr="002667B2">
        <w:rPr>
          <w:rFonts w:ascii="Avenir Next" w:hAnsi="Avenir Next"/>
          <w:sz w:val="24"/>
          <w:szCs w:val="24"/>
          <w:lang w:val="en-US"/>
        </w:rPr>
        <w:t xml:space="preserve">, </w:t>
      </w:r>
      <w:r w:rsidRPr="002667B2">
        <w:rPr>
          <w:rFonts w:ascii="Avenir Next" w:hAnsi="Avenir Next"/>
          <w:i/>
          <w:sz w:val="24"/>
          <w:szCs w:val="24"/>
          <w:lang w:val="en-US"/>
        </w:rPr>
        <w:t>137</w:t>
      </w:r>
      <w:r w:rsidRPr="002667B2">
        <w:rPr>
          <w:rFonts w:ascii="Avenir Next" w:hAnsi="Avenir Next"/>
          <w:sz w:val="24"/>
          <w:szCs w:val="24"/>
          <w:lang w:val="en-US"/>
        </w:rPr>
        <w:t xml:space="preserve">, 139-147. </w:t>
      </w:r>
      <w:hyperlink r:id="rId50">
        <w:r w:rsidRPr="002667B2">
          <w:rPr>
            <w:rFonts w:ascii="Avenir Next" w:hAnsi="Avenir Next"/>
            <w:color w:val="1155CC"/>
            <w:sz w:val="24"/>
            <w:szCs w:val="24"/>
            <w:u w:val="single"/>
            <w:lang w:val="en-US"/>
          </w:rPr>
          <w:t>https://doi.org/10.1016/j.microc.2017.10.008</w:t>
        </w:r>
      </w:hyperlink>
    </w:p>
    <w:p w14:paraId="45A4EB78" w14:textId="16D31BA5"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Savković, Ž., Stupar, M., Unković, N., Knežević, A., Vukojević, J. y Ljaljević Grbić, M.</w:t>
      </w:r>
      <w:r w:rsidR="00862C88">
        <w:rPr>
          <w:rFonts w:ascii="Avenir Next" w:hAnsi="Avenir Next"/>
          <w:sz w:val="24"/>
          <w:szCs w:val="24"/>
          <w:lang w:val="en-US"/>
        </w:rPr>
        <w:t xml:space="preserve"> </w:t>
      </w:r>
      <w:r w:rsidRPr="002667B2">
        <w:rPr>
          <w:rFonts w:ascii="Avenir Next" w:hAnsi="Avenir Next"/>
          <w:sz w:val="24"/>
          <w:szCs w:val="24"/>
          <w:lang w:val="en-US"/>
        </w:rPr>
        <w:t xml:space="preserve">L. (2021). </w:t>
      </w:r>
      <w:r w:rsidRPr="002667B2">
        <w:rPr>
          <w:rFonts w:ascii="Avenir Next" w:hAnsi="Avenir Next"/>
          <w:i/>
          <w:iCs/>
          <w:sz w:val="24"/>
          <w:szCs w:val="24"/>
          <w:lang w:val="en-US"/>
        </w:rPr>
        <w:t>Fungal deterioration of cultural heritage objects</w:t>
      </w:r>
      <w:r w:rsidRPr="002667B2">
        <w:rPr>
          <w:rFonts w:ascii="Avenir Next" w:hAnsi="Avenir Next"/>
          <w:sz w:val="24"/>
          <w:szCs w:val="24"/>
          <w:lang w:val="en-US"/>
        </w:rPr>
        <w:t xml:space="preserve">. </w:t>
      </w:r>
      <w:r w:rsidRPr="002667B2">
        <w:rPr>
          <w:rFonts w:ascii="Avenir Next" w:hAnsi="Avenir Next"/>
          <w:iCs/>
          <w:sz w:val="24"/>
          <w:szCs w:val="24"/>
          <w:lang w:val="en-US"/>
        </w:rPr>
        <w:t>IntechOpen</w:t>
      </w:r>
      <w:r w:rsidRPr="002667B2">
        <w:rPr>
          <w:rFonts w:ascii="Avenir Next" w:hAnsi="Avenir Next"/>
          <w:sz w:val="24"/>
          <w:szCs w:val="24"/>
          <w:lang w:val="en-US"/>
        </w:rPr>
        <w:t xml:space="preserve">. </w:t>
      </w:r>
      <w:hyperlink r:id="rId51">
        <w:r w:rsidRPr="002667B2">
          <w:rPr>
            <w:rFonts w:ascii="Avenir Next" w:hAnsi="Avenir Next"/>
            <w:color w:val="1155CC"/>
            <w:sz w:val="24"/>
            <w:szCs w:val="24"/>
            <w:u w:val="single"/>
            <w:lang w:val="en-US"/>
          </w:rPr>
          <w:t>https://doi.org/10.5772/intechopen.98620</w:t>
        </w:r>
      </w:hyperlink>
    </w:p>
    <w:p w14:paraId="62EA278B"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 xml:space="preserve">Sivaramanan, S. (2014). Isolation of Cellulolytic Fungi and their Degradation on Cellulosic Agricultural Wastes. </w:t>
      </w:r>
      <w:r w:rsidRPr="002667B2">
        <w:rPr>
          <w:rFonts w:ascii="Avenir Next" w:hAnsi="Avenir Next"/>
          <w:i/>
          <w:sz w:val="24"/>
          <w:szCs w:val="24"/>
          <w:lang w:val="en-US"/>
        </w:rPr>
        <w:t>Journal of Academia and Industrial Research</w:t>
      </w:r>
      <w:r w:rsidRPr="002667B2">
        <w:rPr>
          <w:rFonts w:ascii="Avenir Next" w:hAnsi="Avenir Next"/>
          <w:sz w:val="24"/>
          <w:szCs w:val="24"/>
          <w:lang w:val="en-US"/>
        </w:rPr>
        <w:t xml:space="preserve">, </w:t>
      </w:r>
      <w:r w:rsidRPr="002667B2">
        <w:rPr>
          <w:rFonts w:ascii="Avenir Next" w:hAnsi="Avenir Next"/>
          <w:i/>
          <w:iCs/>
          <w:sz w:val="24"/>
          <w:szCs w:val="24"/>
          <w:lang w:val="en-US"/>
        </w:rPr>
        <w:t>2</w:t>
      </w:r>
      <w:r w:rsidRPr="002667B2">
        <w:rPr>
          <w:rFonts w:ascii="Avenir Next" w:hAnsi="Avenir Next"/>
          <w:sz w:val="24"/>
          <w:szCs w:val="24"/>
          <w:lang w:val="en-US"/>
        </w:rPr>
        <w:t>(8), 458-463.</w:t>
      </w:r>
    </w:p>
    <w:p w14:paraId="4BFBEE3D"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 xml:space="preserve">Sterflinger, K. (2010). Fungi: Their role in deterioration of cultural heritage. </w:t>
      </w:r>
      <w:r w:rsidRPr="002667B2">
        <w:rPr>
          <w:rFonts w:ascii="Avenir Next" w:hAnsi="Avenir Next"/>
          <w:i/>
          <w:sz w:val="24"/>
          <w:szCs w:val="24"/>
          <w:lang w:val="en-US"/>
        </w:rPr>
        <w:t>Fungal Biology Reviews</w:t>
      </w:r>
      <w:r w:rsidRPr="002667B2">
        <w:rPr>
          <w:rFonts w:ascii="Avenir Next" w:hAnsi="Avenir Next"/>
          <w:sz w:val="24"/>
          <w:szCs w:val="24"/>
          <w:lang w:val="en-US"/>
        </w:rPr>
        <w:t xml:space="preserve">, </w:t>
      </w:r>
      <w:r w:rsidRPr="002667B2">
        <w:rPr>
          <w:rFonts w:ascii="Avenir Next" w:hAnsi="Avenir Next"/>
          <w:i/>
          <w:sz w:val="24"/>
          <w:szCs w:val="24"/>
          <w:lang w:val="en-US"/>
        </w:rPr>
        <w:t>24</w:t>
      </w:r>
      <w:r w:rsidRPr="002667B2">
        <w:rPr>
          <w:rFonts w:ascii="Avenir Next" w:hAnsi="Avenir Next"/>
          <w:sz w:val="24"/>
          <w:szCs w:val="24"/>
          <w:lang w:val="en-US"/>
        </w:rPr>
        <w:t xml:space="preserve">, 47-55. </w:t>
      </w:r>
      <w:hyperlink r:id="rId52">
        <w:r w:rsidRPr="002667B2">
          <w:rPr>
            <w:rFonts w:ascii="Avenir Next" w:hAnsi="Avenir Next"/>
            <w:color w:val="1155CC"/>
            <w:sz w:val="24"/>
            <w:szCs w:val="24"/>
            <w:u w:val="single"/>
            <w:lang w:val="en-US"/>
          </w:rPr>
          <w:t>https://doi:10.1016/j.fbr.2010.03.003</w:t>
        </w:r>
      </w:hyperlink>
    </w:p>
    <w:p w14:paraId="1AEF85D6" w14:textId="3BD83D51" w:rsidR="002A6A69" w:rsidRPr="002667B2" w:rsidRDefault="002A6A69" w:rsidP="00D92F0A">
      <w:pPr>
        <w:spacing w:after="200" w:line="480" w:lineRule="auto"/>
        <w:ind w:left="567" w:hanging="567"/>
        <w:jc w:val="both"/>
        <w:rPr>
          <w:rFonts w:ascii="Avenir Next" w:hAnsi="Avenir Next"/>
          <w:color w:val="222222"/>
          <w:sz w:val="24"/>
          <w:szCs w:val="24"/>
          <w:lang w:val="es-ES"/>
        </w:rPr>
      </w:pPr>
      <w:r w:rsidRPr="002667B2">
        <w:rPr>
          <w:rFonts w:ascii="Avenir Next" w:hAnsi="Avenir Next"/>
          <w:sz w:val="24"/>
          <w:szCs w:val="24"/>
          <w:lang w:val="en-US"/>
        </w:rPr>
        <w:lastRenderedPageBreak/>
        <w:t>Veysseyre, F., Fourcade, C., Lavigne, J.</w:t>
      </w:r>
      <w:r w:rsidR="00862C88">
        <w:rPr>
          <w:rFonts w:ascii="Avenir Next" w:hAnsi="Avenir Next"/>
          <w:sz w:val="24"/>
          <w:szCs w:val="24"/>
          <w:lang w:val="en-US"/>
        </w:rPr>
        <w:t xml:space="preserve"> </w:t>
      </w:r>
      <w:r w:rsidRPr="002667B2">
        <w:rPr>
          <w:rFonts w:ascii="Avenir Next" w:hAnsi="Avenir Next"/>
          <w:sz w:val="24"/>
          <w:szCs w:val="24"/>
          <w:lang w:val="en-US"/>
        </w:rPr>
        <w:t xml:space="preserve">P. y Sotto, A. (2015). </w:t>
      </w:r>
      <w:r w:rsidRPr="002667B2">
        <w:rPr>
          <w:rFonts w:ascii="Avenir Next" w:hAnsi="Avenir Next"/>
          <w:i/>
          <w:sz w:val="24"/>
          <w:szCs w:val="24"/>
          <w:lang w:val="en-US"/>
        </w:rPr>
        <w:t xml:space="preserve">Bacillus cereus </w:t>
      </w:r>
      <w:r w:rsidRPr="002667B2">
        <w:rPr>
          <w:rFonts w:ascii="Avenir Next" w:hAnsi="Avenir Next"/>
          <w:sz w:val="24"/>
          <w:szCs w:val="24"/>
          <w:lang w:val="en-US"/>
        </w:rPr>
        <w:t xml:space="preserve">infection: 57 case patients and a literature review. </w:t>
      </w:r>
      <w:r w:rsidRPr="002667B2">
        <w:rPr>
          <w:rFonts w:ascii="Avenir Next" w:hAnsi="Avenir Next"/>
          <w:i/>
          <w:sz w:val="24"/>
          <w:szCs w:val="24"/>
          <w:lang w:val="es-ES"/>
        </w:rPr>
        <w:t>Médecine et maladies infectieuses</w:t>
      </w:r>
      <w:r w:rsidRPr="002667B2">
        <w:rPr>
          <w:rFonts w:ascii="Avenir Next" w:hAnsi="Avenir Next"/>
          <w:sz w:val="24"/>
          <w:szCs w:val="24"/>
          <w:lang w:val="es-ES"/>
        </w:rPr>
        <w:t xml:space="preserve">, </w:t>
      </w:r>
      <w:r w:rsidRPr="002667B2">
        <w:rPr>
          <w:rFonts w:ascii="Avenir Next" w:hAnsi="Avenir Next"/>
          <w:i/>
          <w:iCs/>
          <w:sz w:val="24"/>
          <w:szCs w:val="24"/>
          <w:lang w:val="es-ES"/>
        </w:rPr>
        <w:t>45</w:t>
      </w:r>
      <w:r w:rsidRPr="002667B2">
        <w:rPr>
          <w:rFonts w:ascii="Avenir Next" w:hAnsi="Avenir Next"/>
          <w:sz w:val="24"/>
          <w:szCs w:val="24"/>
          <w:lang w:val="es-ES"/>
        </w:rPr>
        <w:t>, 436-440.</w:t>
      </w:r>
      <w:r w:rsidRPr="002667B2">
        <w:rPr>
          <w:rFonts w:ascii="Avenir Next" w:hAnsi="Avenir Next"/>
          <w:color w:val="222222"/>
          <w:sz w:val="24"/>
          <w:szCs w:val="24"/>
          <w:lang w:val="es-ES"/>
        </w:rPr>
        <w:t xml:space="preserve"> </w:t>
      </w:r>
      <w:hyperlink r:id="rId53">
        <w:r w:rsidRPr="002667B2">
          <w:rPr>
            <w:rFonts w:ascii="Avenir Next" w:hAnsi="Avenir Next"/>
            <w:color w:val="1155CC"/>
            <w:sz w:val="24"/>
            <w:szCs w:val="24"/>
            <w:u w:val="single"/>
            <w:lang w:val="es-ES"/>
          </w:rPr>
          <w:t>https://doi.org/10.1016/j.medmal.2015.09.011</w:t>
        </w:r>
      </w:hyperlink>
    </w:p>
    <w:p w14:paraId="71EE16E4"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rPr>
        <w:t xml:space="preserve">Vieto, S., Escudero-Leyva, E., Avendaño, R., Rechnitzer, N., Barrantes-Madrigal, M. D., Conejo-Barboza, G., Herrera-Sancho, O. A., Chaverri, P. y Chavarría, M. (2021). </w:t>
      </w:r>
      <w:r w:rsidRPr="002667B2">
        <w:rPr>
          <w:rFonts w:ascii="Avenir Next" w:hAnsi="Avenir Next"/>
          <w:sz w:val="24"/>
          <w:szCs w:val="24"/>
          <w:lang w:val="en-US"/>
        </w:rPr>
        <w:t xml:space="preserve">Biodeterioration and cellulolytic activity by fungi isolated from a nineteenth-century painting at the National Theatre of Costa Rica. </w:t>
      </w:r>
      <w:r w:rsidRPr="002667B2">
        <w:rPr>
          <w:rFonts w:ascii="Avenir Next" w:hAnsi="Avenir Next"/>
          <w:i/>
          <w:sz w:val="24"/>
          <w:szCs w:val="24"/>
          <w:lang w:val="en-US"/>
        </w:rPr>
        <w:t>Fungal Biology, 126</w:t>
      </w:r>
      <w:r w:rsidRPr="002667B2">
        <w:rPr>
          <w:rFonts w:ascii="Avenir Next" w:hAnsi="Avenir Next"/>
          <w:iCs/>
          <w:sz w:val="24"/>
          <w:szCs w:val="24"/>
          <w:lang w:val="en-US"/>
        </w:rPr>
        <w:t>(2), 101-112.</w:t>
      </w:r>
      <w:r w:rsidRPr="002667B2">
        <w:rPr>
          <w:rFonts w:ascii="Avenir Next" w:hAnsi="Avenir Next"/>
          <w:sz w:val="24"/>
          <w:szCs w:val="24"/>
          <w:lang w:val="en-US"/>
        </w:rPr>
        <w:t xml:space="preserve"> </w:t>
      </w:r>
      <w:hyperlink r:id="rId54">
        <w:r w:rsidRPr="002667B2">
          <w:rPr>
            <w:rFonts w:ascii="Avenir Next" w:hAnsi="Avenir Next"/>
            <w:color w:val="1155CC"/>
            <w:sz w:val="24"/>
            <w:szCs w:val="24"/>
            <w:u w:val="single"/>
            <w:lang w:val="en-US"/>
          </w:rPr>
          <w:t>https://doi.org/10.1016/j.funbio.2021.11.001</w:t>
        </w:r>
      </w:hyperlink>
    </w:p>
    <w:p w14:paraId="55F112DA"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 xml:space="preserve">White, T. J., Bruns, T., Lee, S. J. W. T. y Taylor, J. (1990). Amplification and direct sequencing of fungal ribosomal RNA genes for phylogenetics. </w:t>
      </w:r>
      <w:r w:rsidRPr="002667B2">
        <w:rPr>
          <w:rFonts w:ascii="Avenir Next" w:hAnsi="Avenir Next"/>
          <w:i/>
          <w:sz w:val="24"/>
          <w:szCs w:val="24"/>
          <w:lang w:val="en-US"/>
        </w:rPr>
        <w:t>PCR protocols: a guide to methods and applications</w:t>
      </w:r>
      <w:r w:rsidRPr="002667B2">
        <w:rPr>
          <w:rFonts w:ascii="Avenir Next" w:hAnsi="Avenir Next"/>
          <w:sz w:val="24"/>
          <w:szCs w:val="24"/>
          <w:lang w:val="en-US"/>
        </w:rPr>
        <w:t xml:space="preserve">, </w:t>
      </w:r>
      <w:r w:rsidRPr="002667B2">
        <w:rPr>
          <w:rFonts w:ascii="Avenir Next" w:hAnsi="Avenir Next"/>
          <w:i/>
          <w:sz w:val="24"/>
          <w:szCs w:val="24"/>
          <w:lang w:val="en-US"/>
        </w:rPr>
        <w:t>18</w:t>
      </w:r>
      <w:r w:rsidRPr="002667B2">
        <w:rPr>
          <w:rFonts w:ascii="Avenir Next" w:hAnsi="Avenir Next"/>
          <w:sz w:val="24"/>
          <w:szCs w:val="24"/>
          <w:lang w:val="en-US"/>
        </w:rPr>
        <w:t>(1), 315-322.</w:t>
      </w:r>
    </w:p>
    <w:p w14:paraId="1C6D0FF0" w14:textId="4D58F293" w:rsidR="002A6A69" w:rsidRPr="002667B2" w:rsidRDefault="002A6A69" w:rsidP="00D92F0A">
      <w:pPr>
        <w:spacing w:after="200" w:line="480" w:lineRule="auto"/>
        <w:ind w:left="567" w:hanging="567"/>
        <w:jc w:val="both"/>
        <w:rPr>
          <w:rFonts w:ascii="Avenir Next" w:hAnsi="Avenir Next"/>
          <w:sz w:val="24"/>
          <w:szCs w:val="24"/>
          <w:lang w:val="en-US"/>
        </w:rPr>
      </w:pPr>
      <w:r w:rsidRPr="002667B2">
        <w:rPr>
          <w:rFonts w:ascii="Avenir Next" w:hAnsi="Avenir Next"/>
          <w:sz w:val="24"/>
          <w:szCs w:val="24"/>
          <w:lang w:val="en-US"/>
        </w:rPr>
        <w:t>Williams, N.</w:t>
      </w:r>
      <w:r w:rsidR="00862C88">
        <w:rPr>
          <w:rFonts w:ascii="Avenir Next" w:hAnsi="Avenir Next"/>
          <w:sz w:val="24"/>
          <w:szCs w:val="24"/>
          <w:lang w:val="en-US"/>
        </w:rPr>
        <w:t xml:space="preserve"> </w:t>
      </w:r>
      <w:r w:rsidRPr="002667B2">
        <w:rPr>
          <w:rFonts w:ascii="Avenir Next" w:hAnsi="Avenir Next"/>
          <w:sz w:val="24"/>
          <w:szCs w:val="24"/>
          <w:lang w:val="en-US"/>
        </w:rPr>
        <w:t>A, y MacLea K.</w:t>
      </w:r>
      <w:r w:rsidR="00862C88">
        <w:rPr>
          <w:rFonts w:ascii="Avenir Next" w:hAnsi="Avenir Next"/>
          <w:sz w:val="24"/>
          <w:szCs w:val="24"/>
          <w:lang w:val="en-US"/>
        </w:rPr>
        <w:t xml:space="preserve"> </w:t>
      </w:r>
      <w:r w:rsidRPr="002667B2">
        <w:rPr>
          <w:rFonts w:ascii="Avenir Next" w:hAnsi="Avenir Next"/>
          <w:sz w:val="24"/>
          <w:szCs w:val="24"/>
          <w:lang w:val="en-US"/>
        </w:rPr>
        <w:t xml:space="preserve">S. (2019). Draft Genome Sequence of </w:t>
      </w:r>
      <w:r w:rsidRPr="002667B2">
        <w:rPr>
          <w:rFonts w:ascii="Avenir Next" w:hAnsi="Avenir Next"/>
          <w:i/>
          <w:sz w:val="24"/>
          <w:szCs w:val="24"/>
          <w:lang w:val="en-US"/>
        </w:rPr>
        <w:t>Dermacocus nishinomiyaensis</w:t>
      </w:r>
      <w:r w:rsidRPr="002667B2">
        <w:rPr>
          <w:rFonts w:ascii="Avenir Next" w:hAnsi="Avenir Next"/>
          <w:sz w:val="24"/>
          <w:szCs w:val="24"/>
          <w:lang w:val="en-US"/>
        </w:rPr>
        <w:t xml:space="preserve"> TSA37, Isolated from Wood Ash. </w:t>
      </w:r>
      <w:r w:rsidRPr="002667B2">
        <w:rPr>
          <w:rFonts w:ascii="Avenir Next" w:hAnsi="Avenir Next"/>
          <w:i/>
          <w:sz w:val="24"/>
          <w:szCs w:val="24"/>
          <w:lang w:val="en-US"/>
        </w:rPr>
        <w:t xml:space="preserve">Microbiology Resource Announcements, 8(50). </w:t>
      </w:r>
      <w:hyperlink r:id="rId55">
        <w:r w:rsidRPr="002667B2">
          <w:rPr>
            <w:rFonts w:ascii="Avenir Next" w:hAnsi="Avenir Next"/>
            <w:color w:val="1155CC"/>
            <w:sz w:val="24"/>
            <w:szCs w:val="24"/>
            <w:u w:val="single"/>
            <w:lang w:val="en-US"/>
          </w:rPr>
          <w:t>https://doi.org/10.1128/MRA.01370-19</w:t>
        </w:r>
      </w:hyperlink>
      <w:hyperlink r:id="rId56">
        <w:r w:rsidRPr="002667B2">
          <w:rPr>
            <w:rFonts w:ascii="Avenir Next" w:hAnsi="Avenir Next"/>
            <w:color w:val="1155CC"/>
            <w:sz w:val="24"/>
            <w:szCs w:val="24"/>
            <w:u w:val="single"/>
            <w:shd w:val="clear" w:color="auto" w:fill="ECECED"/>
            <w:lang w:val="en-US"/>
          </w:rPr>
          <w:t>.</w:t>
        </w:r>
      </w:hyperlink>
    </w:p>
    <w:p w14:paraId="1F091C64" w14:textId="03D08B78" w:rsidR="002A6A69" w:rsidRPr="002667B2"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lang w:val="en-US"/>
        </w:rPr>
        <w:t xml:space="preserve">Zavaleta Ochoa, E. (2004). </w:t>
      </w:r>
      <w:r w:rsidRPr="00C06EFC">
        <w:rPr>
          <w:rFonts w:ascii="Avenir Next" w:hAnsi="Avenir Next"/>
          <w:i/>
          <w:iCs/>
          <w:sz w:val="24"/>
          <w:szCs w:val="24"/>
        </w:rPr>
        <w:t>Las exposiciones de artes plásticas en Costa Rica (1928-1937).</w:t>
      </w:r>
      <w:r w:rsidRPr="002667B2">
        <w:rPr>
          <w:rFonts w:ascii="Avenir Next" w:hAnsi="Avenir Next"/>
          <w:sz w:val="24"/>
          <w:szCs w:val="24"/>
        </w:rPr>
        <w:t xml:space="preserve"> Editorial de la Universidad de Costa Rica.</w:t>
      </w:r>
    </w:p>
    <w:p w14:paraId="3B92F6A1" w14:textId="110AF409" w:rsidR="002A6A69" w:rsidRPr="00B420CA" w:rsidRDefault="002A6A69" w:rsidP="00D92F0A">
      <w:pPr>
        <w:spacing w:after="200" w:line="480" w:lineRule="auto"/>
        <w:ind w:left="567" w:hanging="567"/>
        <w:jc w:val="both"/>
        <w:rPr>
          <w:rFonts w:ascii="Avenir Next" w:hAnsi="Avenir Next"/>
          <w:sz w:val="24"/>
          <w:szCs w:val="24"/>
        </w:rPr>
      </w:pPr>
      <w:r w:rsidRPr="002667B2">
        <w:rPr>
          <w:rFonts w:ascii="Avenir Next" w:hAnsi="Avenir Next"/>
          <w:sz w:val="24"/>
          <w:szCs w:val="24"/>
        </w:rPr>
        <w:t xml:space="preserve">Zavaleta, E. (1998). </w:t>
      </w:r>
      <w:r w:rsidRPr="00C06EFC">
        <w:rPr>
          <w:rFonts w:ascii="Avenir Next" w:hAnsi="Avenir Next"/>
          <w:iCs/>
          <w:sz w:val="24"/>
          <w:szCs w:val="24"/>
        </w:rPr>
        <w:t>Los jóvenes de las exposiciones de artes plásticas (1928-1937)</w:t>
      </w:r>
      <w:r w:rsidR="00C06EFC" w:rsidRPr="00C06EFC">
        <w:rPr>
          <w:rFonts w:ascii="Avenir Next" w:hAnsi="Avenir Next"/>
          <w:iCs/>
          <w:sz w:val="24"/>
          <w:szCs w:val="24"/>
        </w:rPr>
        <w:t>.</w:t>
      </w:r>
      <w:r w:rsidRPr="00C06EFC">
        <w:rPr>
          <w:rFonts w:ascii="Avenir Next" w:hAnsi="Avenir Next"/>
          <w:iCs/>
          <w:sz w:val="24"/>
          <w:szCs w:val="24"/>
        </w:rPr>
        <w:t xml:space="preserve"> Reformulación del campo artístico en Costa Rica.</w:t>
      </w:r>
      <w:r w:rsidRPr="002667B2">
        <w:rPr>
          <w:rFonts w:ascii="Avenir Next" w:hAnsi="Avenir Next"/>
          <w:i/>
          <w:sz w:val="24"/>
          <w:szCs w:val="24"/>
        </w:rPr>
        <w:t xml:space="preserve"> </w:t>
      </w:r>
      <w:r w:rsidRPr="002667B2">
        <w:rPr>
          <w:rFonts w:ascii="Avenir Next" w:hAnsi="Avenir Next"/>
          <w:sz w:val="24"/>
          <w:szCs w:val="24"/>
        </w:rPr>
        <w:t xml:space="preserve">En: Museo de Arte Costarricense (1998). </w:t>
      </w:r>
      <w:r w:rsidRPr="002667B2">
        <w:rPr>
          <w:rFonts w:ascii="Avenir Next" w:hAnsi="Avenir Next"/>
          <w:i/>
          <w:sz w:val="24"/>
          <w:szCs w:val="24"/>
        </w:rPr>
        <w:t>Exposiciones artes plásticas (1928-1937</w:t>
      </w:r>
      <w:r w:rsidRPr="002667B2">
        <w:rPr>
          <w:rFonts w:ascii="Avenir Next" w:hAnsi="Avenir Next"/>
          <w:sz w:val="24"/>
          <w:szCs w:val="24"/>
        </w:rPr>
        <w:t>). Museo de Arte Costarricense</w:t>
      </w:r>
      <w:r w:rsidR="00C06EFC">
        <w:rPr>
          <w:rFonts w:ascii="Avenir Next" w:hAnsi="Avenir Next"/>
          <w:sz w:val="24"/>
          <w:szCs w:val="24"/>
        </w:rPr>
        <w:t>,</w:t>
      </w:r>
      <w:r w:rsidRPr="002667B2">
        <w:rPr>
          <w:rFonts w:ascii="Avenir Next" w:hAnsi="Avenir Next"/>
          <w:sz w:val="24"/>
          <w:szCs w:val="24"/>
        </w:rPr>
        <w:t xml:space="preserve"> </w:t>
      </w:r>
      <w:r w:rsidRPr="00B420CA">
        <w:rPr>
          <w:rFonts w:ascii="Avenir Next" w:hAnsi="Avenir Next"/>
          <w:sz w:val="24"/>
          <w:szCs w:val="24"/>
        </w:rPr>
        <w:t>8-39.</w:t>
      </w:r>
    </w:p>
    <w:p w14:paraId="100C5136" w14:textId="77777777" w:rsidR="002A6A69" w:rsidRPr="002667B2" w:rsidRDefault="002A6A69" w:rsidP="00D92F0A">
      <w:pPr>
        <w:spacing w:after="200" w:line="480" w:lineRule="auto"/>
        <w:ind w:left="567" w:hanging="567"/>
        <w:jc w:val="both"/>
        <w:rPr>
          <w:rFonts w:ascii="Avenir Next" w:hAnsi="Avenir Next"/>
          <w:sz w:val="24"/>
          <w:szCs w:val="24"/>
          <w:lang w:val="en-US"/>
        </w:rPr>
      </w:pPr>
      <w:r w:rsidRPr="00874B9D">
        <w:rPr>
          <w:rFonts w:ascii="Avenir Next" w:hAnsi="Avenir Next"/>
          <w:sz w:val="24"/>
          <w:szCs w:val="24"/>
          <w:lang w:val="en-US"/>
        </w:rPr>
        <w:t xml:space="preserve">Zhang, F., Li, L., Sun, M., Hu, C., Zhang, Z., Liu, Z., Shao, H., Xi, G. y Pan, J. (2019). </w:t>
      </w:r>
      <w:r w:rsidRPr="002667B2">
        <w:rPr>
          <w:rFonts w:ascii="Avenir Next" w:hAnsi="Avenir Next"/>
          <w:sz w:val="24"/>
          <w:szCs w:val="24"/>
          <w:lang w:val="en-US"/>
        </w:rPr>
        <w:t xml:space="preserve">Fungal Community Analyses of a Pirogue from the Tang Dynasty in the National Maritime Museum of China. </w:t>
      </w:r>
      <w:r w:rsidRPr="002667B2">
        <w:rPr>
          <w:rFonts w:ascii="Avenir Next" w:hAnsi="Avenir Next"/>
          <w:i/>
          <w:sz w:val="24"/>
          <w:szCs w:val="24"/>
          <w:lang w:val="en-US"/>
        </w:rPr>
        <w:t>Appl. Sci.</w:t>
      </w:r>
      <w:r w:rsidRPr="002667B2">
        <w:rPr>
          <w:rFonts w:ascii="Avenir Next" w:hAnsi="Avenir Next"/>
          <w:sz w:val="24"/>
          <w:szCs w:val="24"/>
          <w:lang w:val="en-US"/>
        </w:rPr>
        <w:t xml:space="preserve">, </w:t>
      </w:r>
      <w:r w:rsidRPr="002667B2">
        <w:rPr>
          <w:rFonts w:ascii="Avenir Next" w:hAnsi="Avenir Next"/>
          <w:i/>
          <w:iCs/>
          <w:sz w:val="24"/>
          <w:szCs w:val="24"/>
          <w:lang w:val="en-US"/>
        </w:rPr>
        <w:t>9</w:t>
      </w:r>
      <w:r w:rsidRPr="002667B2">
        <w:rPr>
          <w:rFonts w:ascii="Avenir Next" w:hAnsi="Avenir Next"/>
          <w:sz w:val="24"/>
          <w:szCs w:val="24"/>
          <w:lang w:val="en-US"/>
        </w:rPr>
        <w:t xml:space="preserve">(19). </w:t>
      </w:r>
      <w:hyperlink r:id="rId57">
        <w:r w:rsidRPr="002667B2">
          <w:rPr>
            <w:rFonts w:ascii="Avenir Next" w:hAnsi="Avenir Next"/>
            <w:color w:val="1155CC"/>
            <w:sz w:val="24"/>
            <w:szCs w:val="24"/>
            <w:u w:val="single"/>
            <w:lang w:val="en-US"/>
          </w:rPr>
          <w:t>http://</w:t>
        </w:r>
      </w:hyperlink>
      <w:hyperlink r:id="rId58">
        <w:r w:rsidRPr="002667B2">
          <w:rPr>
            <w:rFonts w:ascii="Avenir Next" w:hAnsi="Avenir Next"/>
            <w:color w:val="1155CC"/>
            <w:sz w:val="24"/>
            <w:szCs w:val="24"/>
            <w:u w:val="single"/>
            <w:lang w:val="en-US"/>
          </w:rPr>
          <w:t>doi:10.3390/app9194129</w:t>
        </w:r>
      </w:hyperlink>
    </w:p>
    <w:p w14:paraId="63670667" w14:textId="5B5D6205" w:rsidR="00454FAC" w:rsidRDefault="002A6A69" w:rsidP="00D92F0A">
      <w:pPr>
        <w:spacing w:after="200" w:line="480" w:lineRule="auto"/>
        <w:ind w:left="567" w:hanging="567"/>
        <w:jc w:val="both"/>
        <w:rPr>
          <w:rFonts w:ascii="Avenir Next" w:hAnsi="Avenir Next"/>
          <w:color w:val="1155CC"/>
          <w:sz w:val="24"/>
          <w:szCs w:val="24"/>
          <w:u w:val="single"/>
        </w:rPr>
      </w:pPr>
      <w:r w:rsidRPr="002667B2">
        <w:rPr>
          <w:rFonts w:ascii="Avenir Next" w:hAnsi="Avenir Next"/>
          <w:sz w:val="24"/>
          <w:szCs w:val="24"/>
          <w:lang w:val="en-US"/>
        </w:rPr>
        <w:lastRenderedPageBreak/>
        <w:t xml:space="preserve">Zhgun, A., Avdanina, D., Shumikhin, K., Simonenko, N., Lyubavskaya, E., Volkov, I., y Ivanov, V. (2020). Detection of potential biodeterioration risks for tempera painting in 16th century exhibits from State Tretyakov Gallery. </w:t>
      </w:r>
      <w:r w:rsidRPr="002667B2">
        <w:rPr>
          <w:rFonts w:ascii="Avenir Next" w:hAnsi="Avenir Next"/>
          <w:i/>
          <w:sz w:val="24"/>
          <w:szCs w:val="24"/>
        </w:rPr>
        <w:t>Plos One</w:t>
      </w:r>
      <w:r w:rsidRPr="002667B2">
        <w:rPr>
          <w:rFonts w:ascii="Avenir Next" w:hAnsi="Avenir Next"/>
          <w:sz w:val="24"/>
          <w:szCs w:val="24"/>
        </w:rPr>
        <w:t xml:space="preserve">, </w:t>
      </w:r>
      <w:r w:rsidRPr="002667B2">
        <w:rPr>
          <w:rFonts w:ascii="Avenir Next" w:hAnsi="Avenir Next"/>
          <w:i/>
          <w:sz w:val="24"/>
          <w:szCs w:val="24"/>
        </w:rPr>
        <w:t>15</w:t>
      </w:r>
      <w:r w:rsidRPr="002667B2">
        <w:rPr>
          <w:rFonts w:ascii="Avenir Next" w:hAnsi="Avenir Next"/>
          <w:sz w:val="24"/>
          <w:szCs w:val="24"/>
        </w:rPr>
        <w:t xml:space="preserve">(4). </w:t>
      </w:r>
      <w:hyperlink r:id="rId59" w:history="1">
        <w:r w:rsidR="00C62C55" w:rsidRPr="00985C8F">
          <w:rPr>
            <w:rStyle w:val="Hipervnculo"/>
            <w:rFonts w:ascii="Avenir Next" w:hAnsi="Avenir Next"/>
            <w:sz w:val="24"/>
            <w:szCs w:val="24"/>
          </w:rPr>
          <w:t>https://doi.org/10.1371/journal.pone.0230591</w:t>
        </w:r>
      </w:hyperlink>
    </w:p>
    <w:p w14:paraId="0098F259"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28865048"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43C2944D"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1AC02604"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587F2B56"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21AE71D0"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3C50FDCC"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0A254EA8"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54474AD0"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4E0DE7DA"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06846B51"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2115C317"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5AEA19D4"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61EDB700"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779264CC"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4631D23B" w14:textId="77777777" w:rsidR="00C62C55" w:rsidRDefault="00C62C55" w:rsidP="00D92F0A">
      <w:pPr>
        <w:spacing w:after="200" w:line="480" w:lineRule="auto"/>
        <w:ind w:left="567" w:hanging="567"/>
        <w:jc w:val="both"/>
        <w:rPr>
          <w:rFonts w:ascii="Avenir Next" w:hAnsi="Avenir Next"/>
          <w:color w:val="1155CC"/>
          <w:sz w:val="24"/>
          <w:szCs w:val="24"/>
          <w:u w:val="single"/>
        </w:rPr>
      </w:pPr>
    </w:p>
    <w:p w14:paraId="005AFF79" w14:textId="77777777" w:rsidR="00C62C55" w:rsidRPr="00454FAC" w:rsidRDefault="00C62C55" w:rsidP="00D92F0A">
      <w:pPr>
        <w:spacing w:after="200" w:line="480" w:lineRule="auto"/>
        <w:ind w:left="567" w:hanging="567"/>
        <w:jc w:val="both"/>
        <w:rPr>
          <w:rFonts w:ascii="Avenir Next" w:hAnsi="Avenir Next"/>
          <w:color w:val="1155CC"/>
          <w:sz w:val="24"/>
          <w:szCs w:val="24"/>
          <w:u w:val="single"/>
        </w:rPr>
      </w:pPr>
    </w:p>
    <w:p w14:paraId="2B469F37" w14:textId="77777777" w:rsidR="00144113" w:rsidRPr="004860F8" w:rsidRDefault="00144113" w:rsidP="00D92F0A">
      <w:pPr>
        <w:spacing w:line="240" w:lineRule="auto"/>
        <w:ind w:left="567"/>
        <w:jc w:val="both"/>
        <w:rPr>
          <w:rFonts w:ascii="Avenir Next" w:hAnsi="Avenir Next"/>
          <w:sz w:val="24"/>
          <w:szCs w:val="24"/>
        </w:rPr>
      </w:pPr>
    </w:p>
    <w:p w14:paraId="4F56D1FA" w14:textId="77777777" w:rsidR="00144113" w:rsidRPr="004860F8" w:rsidRDefault="00144113" w:rsidP="00D92F0A">
      <w:pPr>
        <w:spacing w:line="240" w:lineRule="auto"/>
        <w:ind w:left="567"/>
        <w:jc w:val="both"/>
        <w:rPr>
          <w:rFonts w:ascii="Avenir Next" w:hAnsi="Avenir Next"/>
          <w:sz w:val="24"/>
          <w:szCs w:val="24"/>
        </w:rPr>
      </w:pPr>
    </w:p>
    <w:p w14:paraId="50C24B38" w14:textId="77777777" w:rsidR="00144113" w:rsidRPr="004860F8" w:rsidRDefault="00144113" w:rsidP="00D92F0A">
      <w:pPr>
        <w:spacing w:line="240" w:lineRule="auto"/>
        <w:ind w:left="567"/>
        <w:jc w:val="both"/>
        <w:rPr>
          <w:rFonts w:ascii="Avenir Next" w:hAnsi="Avenir Next"/>
          <w:sz w:val="24"/>
          <w:szCs w:val="24"/>
        </w:rPr>
      </w:pPr>
    </w:p>
    <w:p w14:paraId="48CC96A8" w14:textId="77777777" w:rsidR="00144113" w:rsidRPr="004860F8" w:rsidRDefault="00144113" w:rsidP="00D92F0A">
      <w:pPr>
        <w:spacing w:line="240" w:lineRule="auto"/>
        <w:ind w:left="567"/>
        <w:jc w:val="both"/>
        <w:rPr>
          <w:rFonts w:ascii="Avenir Next" w:hAnsi="Avenir Next"/>
          <w:sz w:val="24"/>
          <w:szCs w:val="24"/>
        </w:rPr>
      </w:pPr>
    </w:p>
    <w:p w14:paraId="6BBC99C6" w14:textId="77777777" w:rsidR="00144113" w:rsidRPr="004860F8" w:rsidRDefault="00144113" w:rsidP="00D92F0A">
      <w:pPr>
        <w:spacing w:line="240" w:lineRule="auto"/>
        <w:ind w:left="567"/>
        <w:jc w:val="both"/>
        <w:rPr>
          <w:rFonts w:ascii="Avenir Next" w:hAnsi="Avenir Next"/>
          <w:sz w:val="24"/>
          <w:szCs w:val="24"/>
        </w:rPr>
      </w:pPr>
    </w:p>
    <w:p w14:paraId="3D642C9A" w14:textId="77777777" w:rsidR="00144113" w:rsidRDefault="00144113" w:rsidP="00D92F0A">
      <w:pPr>
        <w:spacing w:line="240" w:lineRule="auto"/>
        <w:ind w:left="567"/>
        <w:jc w:val="both"/>
        <w:rPr>
          <w:rFonts w:ascii="Avenir Next" w:hAnsi="Avenir Next"/>
          <w:sz w:val="24"/>
          <w:szCs w:val="24"/>
        </w:rPr>
      </w:pPr>
    </w:p>
    <w:p w14:paraId="3F666524" w14:textId="77777777" w:rsidR="00454FAC" w:rsidRDefault="00454FAC" w:rsidP="00D92F0A">
      <w:pPr>
        <w:spacing w:line="240" w:lineRule="auto"/>
        <w:ind w:left="567"/>
        <w:jc w:val="both"/>
        <w:rPr>
          <w:rFonts w:ascii="Avenir Next" w:hAnsi="Avenir Next"/>
          <w:sz w:val="24"/>
          <w:szCs w:val="24"/>
        </w:rPr>
      </w:pPr>
    </w:p>
    <w:p w14:paraId="5642F829" w14:textId="77777777" w:rsidR="00454FAC" w:rsidRDefault="00454FAC" w:rsidP="00D92F0A">
      <w:pPr>
        <w:spacing w:line="240" w:lineRule="auto"/>
        <w:ind w:left="567"/>
        <w:jc w:val="both"/>
        <w:rPr>
          <w:rFonts w:ascii="Avenir Next" w:hAnsi="Avenir Next"/>
          <w:sz w:val="24"/>
          <w:szCs w:val="24"/>
        </w:rPr>
      </w:pPr>
    </w:p>
    <w:p w14:paraId="62370DD1" w14:textId="77777777" w:rsidR="00454FAC" w:rsidRDefault="00454FAC" w:rsidP="00D92F0A">
      <w:pPr>
        <w:spacing w:line="240" w:lineRule="auto"/>
        <w:ind w:left="567"/>
        <w:jc w:val="both"/>
        <w:rPr>
          <w:rFonts w:ascii="Avenir Next" w:hAnsi="Avenir Next"/>
          <w:sz w:val="24"/>
          <w:szCs w:val="24"/>
        </w:rPr>
      </w:pPr>
    </w:p>
    <w:p w14:paraId="7519EB5B" w14:textId="77777777" w:rsidR="00454FAC" w:rsidRDefault="00454FAC" w:rsidP="00D92F0A">
      <w:pPr>
        <w:spacing w:line="240" w:lineRule="auto"/>
        <w:ind w:left="567"/>
        <w:jc w:val="both"/>
        <w:rPr>
          <w:rFonts w:ascii="Avenir Next" w:hAnsi="Avenir Next"/>
          <w:sz w:val="24"/>
          <w:szCs w:val="24"/>
        </w:rPr>
      </w:pPr>
    </w:p>
    <w:p w14:paraId="7E66F97E" w14:textId="77777777" w:rsidR="00454FAC" w:rsidRDefault="00454FAC" w:rsidP="00D92F0A">
      <w:pPr>
        <w:spacing w:line="240" w:lineRule="auto"/>
        <w:ind w:left="567"/>
        <w:jc w:val="both"/>
        <w:rPr>
          <w:rFonts w:ascii="Avenir Next" w:hAnsi="Avenir Next"/>
          <w:sz w:val="24"/>
          <w:szCs w:val="24"/>
        </w:rPr>
      </w:pPr>
    </w:p>
    <w:p w14:paraId="4F7E454B" w14:textId="77777777" w:rsidR="00454FAC" w:rsidRDefault="00454FAC" w:rsidP="00D92F0A">
      <w:pPr>
        <w:spacing w:line="240" w:lineRule="auto"/>
        <w:ind w:left="567"/>
        <w:jc w:val="both"/>
        <w:rPr>
          <w:rFonts w:ascii="Avenir Next" w:hAnsi="Avenir Next"/>
          <w:sz w:val="24"/>
          <w:szCs w:val="24"/>
        </w:rPr>
      </w:pPr>
    </w:p>
    <w:p w14:paraId="3A352517" w14:textId="77777777" w:rsidR="00454FAC" w:rsidRDefault="00454FAC" w:rsidP="00D92F0A">
      <w:pPr>
        <w:spacing w:line="240" w:lineRule="auto"/>
        <w:ind w:left="567"/>
        <w:jc w:val="both"/>
        <w:rPr>
          <w:rFonts w:ascii="Avenir Next" w:hAnsi="Avenir Next"/>
          <w:sz w:val="24"/>
          <w:szCs w:val="24"/>
        </w:rPr>
      </w:pPr>
    </w:p>
    <w:p w14:paraId="23DCAAD7" w14:textId="77777777" w:rsidR="00454FAC" w:rsidRDefault="00454FAC" w:rsidP="00D92F0A">
      <w:pPr>
        <w:spacing w:line="240" w:lineRule="auto"/>
        <w:ind w:left="567"/>
        <w:jc w:val="both"/>
        <w:rPr>
          <w:rFonts w:ascii="Avenir Next" w:hAnsi="Avenir Next"/>
          <w:sz w:val="24"/>
          <w:szCs w:val="24"/>
        </w:rPr>
      </w:pPr>
    </w:p>
    <w:p w14:paraId="6392B885" w14:textId="77777777" w:rsidR="00454FAC" w:rsidRDefault="00454FAC" w:rsidP="00D92F0A">
      <w:pPr>
        <w:spacing w:line="240" w:lineRule="auto"/>
        <w:ind w:left="567"/>
        <w:jc w:val="both"/>
        <w:rPr>
          <w:rFonts w:ascii="Avenir Next" w:hAnsi="Avenir Next"/>
          <w:sz w:val="24"/>
          <w:szCs w:val="24"/>
        </w:rPr>
      </w:pPr>
    </w:p>
    <w:p w14:paraId="0EBDABEC" w14:textId="77777777" w:rsidR="00454FAC" w:rsidRDefault="00454FAC" w:rsidP="00D92F0A">
      <w:pPr>
        <w:spacing w:line="240" w:lineRule="auto"/>
        <w:ind w:left="567"/>
        <w:jc w:val="both"/>
        <w:rPr>
          <w:rFonts w:ascii="Avenir Next" w:hAnsi="Avenir Next"/>
          <w:sz w:val="24"/>
          <w:szCs w:val="24"/>
        </w:rPr>
      </w:pPr>
    </w:p>
    <w:p w14:paraId="1D793BE7" w14:textId="77777777" w:rsidR="00454FAC" w:rsidRDefault="00454FAC" w:rsidP="00D92F0A">
      <w:pPr>
        <w:spacing w:line="240" w:lineRule="auto"/>
        <w:ind w:left="567"/>
        <w:jc w:val="both"/>
        <w:rPr>
          <w:rFonts w:ascii="Avenir Next" w:hAnsi="Avenir Next"/>
          <w:sz w:val="24"/>
          <w:szCs w:val="24"/>
        </w:rPr>
      </w:pPr>
    </w:p>
    <w:p w14:paraId="4EFBC51D" w14:textId="77777777" w:rsidR="00454FAC" w:rsidRDefault="00454FAC" w:rsidP="00D92F0A">
      <w:pPr>
        <w:spacing w:line="240" w:lineRule="auto"/>
        <w:ind w:left="567"/>
        <w:jc w:val="both"/>
        <w:rPr>
          <w:rFonts w:ascii="Avenir Next" w:hAnsi="Avenir Next"/>
          <w:sz w:val="24"/>
          <w:szCs w:val="24"/>
        </w:rPr>
      </w:pPr>
    </w:p>
    <w:p w14:paraId="2BC5CC38" w14:textId="77777777" w:rsidR="00454FAC" w:rsidRDefault="00454FAC" w:rsidP="00D92F0A">
      <w:pPr>
        <w:spacing w:line="240" w:lineRule="auto"/>
        <w:ind w:left="567"/>
        <w:jc w:val="both"/>
        <w:rPr>
          <w:rFonts w:ascii="Avenir Next" w:hAnsi="Avenir Next"/>
          <w:sz w:val="24"/>
          <w:szCs w:val="24"/>
        </w:rPr>
      </w:pPr>
    </w:p>
    <w:p w14:paraId="5E383C49" w14:textId="77777777" w:rsidR="00454FAC" w:rsidRDefault="00454FAC" w:rsidP="00D92F0A">
      <w:pPr>
        <w:spacing w:line="240" w:lineRule="auto"/>
        <w:ind w:left="567"/>
        <w:jc w:val="both"/>
        <w:rPr>
          <w:rFonts w:ascii="Avenir Next" w:hAnsi="Avenir Next"/>
          <w:sz w:val="24"/>
          <w:szCs w:val="24"/>
        </w:rPr>
      </w:pPr>
    </w:p>
    <w:p w14:paraId="2E6DA259" w14:textId="77777777" w:rsidR="00454FAC" w:rsidRDefault="00454FAC" w:rsidP="00D92F0A">
      <w:pPr>
        <w:spacing w:line="240" w:lineRule="auto"/>
        <w:ind w:left="567"/>
        <w:jc w:val="both"/>
        <w:rPr>
          <w:rFonts w:ascii="Avenir Next" w:hAnsi="Avenir Next"/>
          <w:sz w:val="24"/>
          <w:szCs w:val="24"/>
        </w:rPr>
      </w:pPr>
    </w:p>
    <w:p w14:paraId="3EFA0467" w14:textId="77777777" w:rsidR="00454FAC" w:rsidRPr="004860F8" w:rsidRDefault="00454FAC" w:rsidP="00D92F0A">
      <w:pPr>
        <w:spacing w:line="240" w:lineRule="auto"/>
        <w:ind w:left="567"/>
        <w:jc w:val="both"/>
        <w:rPr>
          <w:rFonts w:ascii="Avenir Next" w:hAnsi="Avenir Next"/>
          <w:sz w:val="24"/>
          <w:szCs w:val="24"/>
        </w:rPr>
      </w:pPr>
    </w:p>
    <w:p w14:paraId="470FEA89" w14:textId="77777777" w:rsidR="00144113" w:rsidRPr="004860F8" w:rsidRDefault="00144113" w:rsidP="00D92F0A">
      <w:pPr>
        <w:spacing w:line="240" w:lineRule="auto"/>
        <w:ind w:left="567"/>
        <w:jc w:val="both"/>
        <w:rPr>
          <w:rFonts w:ascii="Avenir Next" w:hAnsi="Avenir Next"/>
          <w:sz w:val="24"/>
          <w:szCs w:val="24"/>
        </w:rPr>
      </w:pPr>
    </w:p>
    <w:p w14:paraId="48A55466" w14:textId="77777777" w:rsidR="00144113" w:rsidRPr="004860F8" w:rsidRDefault="00144113" w:rsidP="00D92F0A">
      <w:pPr>
        <w:spacing w:line="240" w:lineRule="auto"/>
        <w:ind w:left="567"/>
        <w:jc w:val="both"/>
        <w:rPr>
          <w:rFonts w:ascii="Avenir Next" w:hAnsi="Avenir Next"/>
          <w:b/>
          <w:sz w:val="24"/>
          <w:szCs w:val="24"/>
        </w:rPr>
      </w:pPr>
    </w:p>
    <w:sectPr w:rsidR="00144113" w:rsidRPr="004860F8" w:rsidSect="00B420CA">
      <w:headerReference w:type="default" r:id="rId60"/>
      <w:footerReference w:type="default" r:id="rId61"/>
      <w:headerReference w:type="first" r:id="rId62"/>
      <w:footerReference w:type="first" r:id="rId63"/>
      <w:pgSz w:w="11909" w:h="16834"/>
      <w:pgMar w:top="1417" w:right="1133" w:bottom="1417" w:left="1133" w:header="720" w:footer="720" w:gutter="0"/>
      <w:pgNumType w:start="1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68BE7" w14:textId="77777777" w:rsidR="005A389B" w:rsidRDefault="005A389B">
      <w:pPr>
        <w:spacing w:line="240" w:lineRule="auto"/>
      </w:pPr>
      <w:r>
        <w:separator/>
      </w:r>
    </w:p>
  </w:endnote>
  <w:endnote w:type="continuationSeparator" w:id="0">
    <w:p w14:paraId="22CD1DD4" w14:textId="77777777" w:rsidR="005A389B" w:rsidRDefault="005A38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Next">
    <w:altName w:val="Calibri"/>
    <w:panose1 w:val="00000000000000000000"/>
    <w:charset w:val="00"/>
    <w:family w:val="roman"/>
    <w:notTrueType/>
    <w:pitch w:val="default"/>
  </w:font>
  <w:font w:name="TimesNewRomanPS">
    <w:altName w:val="Hiragino Mincho ProN W3"/>
    <w:panose1 w:val="00000000000000000000"/>
    <w:charset w:val="80"/>
    <w:family w:val="roman"/>
    <w:notTrueType/>
    <w:pitch w:val="default"/>
    <w:sig w:usb0="00002A87" w:usb1="08070000" w:usb2="00000010" w:usb3="00000000" w:csb0="0002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910674"/>
      <w:docPartObj>
        <w:docPartGallery w:val="Page Numbers (Bottom of Page)"/>
        <w:docPartUnique/>
      </w:docPartObj>
    </w:sdtPr>
    <w:sdtEndPr>
      <w:rPr>
        <w:rFonts w:ascii="Avenir Next" w:hAnsi="Avenir Next"/>
      </w:rPr>
    </w:sdtEndPr>
    <w:sdtContent>
      <w:p w14:paraId="6FE2DA99" w14:textId="5D7A6BEE" w:rsidR="00B420CA" w:rsidRPr="00B420CA" w:rsidRDefault="00B420CA">
        <w:pPr>
          <w:pStyle w:val="Piedepgina"/>
          <w:jc w:val="center"/>
          <w:rPr>
            <w:rFonts w:ascii="Avenir Next" w:hAnsi="Avenir Next"/>
          </w:rPr>
        </w:pPr>
        <w:r>
          <w:rPr>
            <w:noProof/>
            <w:lang w:eastAsia="es-CR"/>
          </w:rPr>
          <w:drawing>
            <wp:anchor distT="0" distB="0" distL="114300" distR="114300" simplePos="0" relativeHeight="251657216" behindDoc="0" locked="0" layoutInCell="1" allowOverlap="1" wp14:anchorId="45FC876F" wp14:editId="440F75F0">
              <wp:simplePos x="0" y="0"/>
              <wp:positionH relativeFrom="column">
                <wp:posOffset>0</wp:posOffset>
              </wp:positionH>
              <wp:positionV relativeFrom="paragraph">
                <wp:posOffset>8255</wp:posOffset>
              </wp:positionV>
              <wp:extent cx="838200" cy="295275"/>
              <wp:effectExtent l="0" t="0" r="0" b="0"/>
              <wp:wrapSquare wrapText="bothSides"/>
              <wp:docPr id="4" name="Imagen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005A389B">
          <w:rPr>
            <w:rFonts w:ascii="Avenir Next" w:hAnsi="Avenir Next"/>
            <w:noProof/>
            <w:lang w:eastAsia="es-CR"/>
          </w:rPr>
          <w:pict w14:anchorId="4EA064C3">
            <v:shapetype id="_x0000_t202" coordsize="21600,21600" o:spt="202" path="m,l,21600r21600,l21600,xe">
              <v:stroke joinstyle="miter"/>
              <v:path gradientshapeok="t" o:connecttype="rect"/>
            </v:shapetype>
            <v:shape id="_x0000_s2056" type="#_x0000_t202" style="position:absolute;left:0;text-align:left;margin-left:383.6pt;margin-top:-1.85pt;width:98.25pt;height:22.5pt;z-index:251661312;mso-position-horizontal-relative:text;mso-position-vertical-relative:text" filled="f" stroked="f">
              <v:textbox style="mso-next-textbox:#_x0000_s2056">
                <w:txbxContent>
                  <w:p w14:paraId="6F5FD769" w14:textId="77777777" w:rsidR="00B420CA" w:rsidRPr="00B420CA" w:rsidRDefault="00B420CA" w:rsidP="00B420CA">
                    <w:pPr>
                      <w:rPr>
                        <w:rFonts w:ascii="Avenir Next" w:hAnsi="Avenir Next"/>
                      </w:rPr>
                    </w:pPr>
                    <w:r w:rsidRPr="00B420CA">
                      <w:rPr>
                        <w:rFonts w:ascii="Avenir Next" w:hAnsi="Avenir Next"/>
                      </w:rPr>
                      <w:t>2215-6356</w:t>
                    </w:r>
                  </w:p>
                </w:txbxContent>
              </v:textbox>
            </v:shape>
          </w:pict>
        </w:r>
        <w:r w:rsidRPr="00B420CA">
          <w:rPr>
            <w:rFonts w:ascii="Avenir Next" w:hAnsi="Avenir Next"/>
          </w:rPr>
          <w:fldChar w:fldCharType="begin"/>
        </w:r>
        <w:r w:rsidRPr="00B420CA">
          <w:rPr>
            <w:rFonts w:ascii="Avenir Next" w:hAnsi="Avenir Next"/>
          </w:rPr>
          <w:instrText>PAGE   \* MERGEFORMAT</w:instrText>
        </w:r>
        <w:r w:rsidRPr="00B420CA">
          <w:rPr>
            <w:rFonts w:ascii="Avenir Next" w:hAnsi="Avenir Next"/>
          </w:rPr>
          <w:fldChar w:fldCharType="separate"/>
        </w:r>
        <w:r w:rsidR="00874B9D" w:rsidRPr="00874B9D">
          <w:rPr>
            <w:rFonts w:ascii="Avenir Next" w:hAnsi="Avenir Next"/>
            <w:noProof/>
            <w:lang w:val="es-ES"/>
          </w:rPr>
          <w:t>43</w:t>
        </w:r>
        <w:r w:rsidRPr="00B420CA">
          <w:rPr>
            <w:rFonts w:ascii="Avenir Next" w:hAnsi="Avenir Next"/>
          </w:rPr>
          <w:fldChar w:fldCharType="end"/>
        </w:r>
      </w:p>
    </w:sdtContent>
  </w:sdt>
  <w:p w14:paraId="56229F7A" w14:textId="55028A24" w:rsidR="00F95CEA" w:rsidRPr="000E2C9F" w:rsidRDefault="00F95CEA" w:rsidP="00D92F0A">
    <w:pPr>
      <w:pStyle w:val="Piedepgina"/>
      <w:rPr>
        <w:rFonts w:ascii="Avenir Next" w:hAnsi="Avenir Nex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1518487"/>
      <w:docPartObj>
        <w:docPartGallery w:val="Page Numbers (Bottom of Page)"/>
        <w:docPartUnique/>
      </w:docPartObj>
    </w:sdtPr>
    <w:sdtEndPr>
      <w:rPr>
        <w:rFonts w:ascii="Avenir Next" w:hAnsi="Avenir Next"/>
      </w:rPr>
    </w:sdtEndPr>
    <w:sdtContent>
      <w:p w14:paraId="6A710229" w14:textId="4730EC56" w:rsidR="00B420CA" w:rsidRPr="00B420CA" w:rsidRDefault="00B420CA">
        <w:pPr>
          <w:pStyle w:val="Piedepgina"/>
          <w:jc w:val="center"/>
          <w:rPr>
            <w:rFonts w:ascii="Avenir Next" w:hAnsi="Avenir Next"/>
          </w:rPr>
        </w:pPr>
        <w:r>
          <w:rPr>
            <w:noProof/>
            <w:lang w:eastAsia="es-CR"/>
          </w:rPr>
          <w:drawing>
            <wp:anchor distT="0" distB="0" distL="114300" distR="114300" simplePos="0" relativeHeight="251660288" behindDoc="0" locked="0" layoutInCell="1" allowOverlap="1" wp14:anchorId="3DCD2665" wp14:editId="5C595A13">
              <wp:simplePos x="0" y="0"/>
              <wp:positionH relativeFrom="column">
                <wp:posOffset>4445</wp:posOffset>
              </wp:positionH>
              <wp:positionV relativeFrom="paragraph">
                <wp:posOffset>5080</wp:posOffset>
              </wp:positionV>
              <wp:extent cx="838200" cy="295275"/>
              <wp:effectExtent l="0" t="0" r="0" b="0"/>
              <wp:wrapSquare wrapText="bothSides"/>
              <wp:docPr id="2" name="Imagen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005A389B">
          <w:rPr>
            <w:rFonts w:ascii="Avenir Next" w:hAnsi="Avenir Next"/>
            <w:noProof/>
            <w:lang w:eastAsia="es-CR"/>
          </w:rPr>
          <w:pict w14:anchorId="4EA064C3">
            <v:shapetype id="_x0000_t202" coordsize="21600,21600" o:spt="202" path="m,l,21600r21600,l21600,xe">
              <v:stroke joinstyle="miter"/>
              <v:path gradientshapeok="t" o:connecttype="rect"/>
            </v:shapetype>
            <v:shape id="_x0000_s2055" type="#_x0000_t202" style="position:absolute;left:0;text-align:left;margin-left:383.6pt;margin-top:-2.6pt;width:98.25pt;height:22.5pt;z-index:251659264;mso-position-horizontal-relative:text;mso-position-vertical-relative:text" filled="f" stroked="f">
              <v:textbox style="mso-next-textbox:#_x0000_s2055">
                <w:txbxContent>
                  <w:p w14:paraId="78C9FF4C" w14:textId="1CC09CB0" w:rsidR="00B420CA" w:rsidRPr="00B420CA" w:rsidRDefault="00B420CA">
                    <w:pPr>
                      <w:rPr>
                        <w:rFonts w:ascii="Avenir Next" w:hAnsi="Avenir Next"/>
                      </w:rPr>
                    </w:pPr>
                    <w:r w:rsidRPr="00B420CA">
                      <w:rPr>
                        <w:rFonts w:ascii="Avenir Next" w:hAnsi="Avenir Next"/>
                      </w:rPr>
                      <w:t>2215-6356</w:t>
                    </w:r>
                  </w:p>
                </w:txbxContent>
              </v:textbox>
            </v:shape>
          </w:pict>
        </w:r>
        <w:r w:rsidRPr="00B420CA">
          <w:rPr>
            <w:rFonts w:ascii="Avenir Next" w:hAnsi="Avenir Next"/>
          </w:rPr>
          <w:fldChar w:fldCharType="begin"/>
        </w:r>
        <w:r w:rsidRPr="00B420CA">
          <w:rPr>
            <w:rFonts w:ascii="Avenir Next" w:hAnsi="Avenir Next"/>
          </w:rPr>
          <w:instrText>PAGE   \* MERGEFORMAT</w:instrText>
        </w:r>
        <w:r w:rsidRPr="00B420CA">
          <w:rPr>
            <w:rFonts w:ascii="Avenir Next" w:hAnsi="Avenir Next"/>
          </w:rPr>
          <w:fldChar w:fldCharType="separate"/>
        </w:r>
        <w:r w:rsidR="00874B9D" w:rsidRPr="00874B9D">
          <w:rPr>
            <w:rFonts w:ascii="Avenir Next" w:hAnsi="Avenir Next"/>
            <w:noProof/>
            <w:lang w:val="es-ES"/>
          </w:rPr>
          <w:t>11</w:t>
        </w:r>
        <w:r w:rsidRPr="00B420CA">
          <w:rPr>
            <w:rFonts w:ascii="Avenir Next" w:hAnsi="Avenir Next"/>
          </w:rPr>
          <w:fldChar w:fldCharType="end"/>
        </w:r>
      </w:p>
    </w:sdtContent>
  </w:sdt>
  <w:p w14:paraId="4A7A6DB5" w14:textId="485B52B2" w:rsidR="00B420CA" w:rsidRDefault="00B420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87ADA" w14:textId="77777777" w:rsidR="005A389B" w:rsidRDefault="005A389B">
      <w:pPr>
        <w:spacing w:line="240" w:lineRule="auto"/>
      </w:pPr>
      <w:r>
        <w:separator/>
      </w:r>
    </w:p>
  </w:footnote>
  <w:footnote w:type="continuationSeparator" w:id="0">
    <w:p w14:paraId="12E06410" w14:textId="77777777" w:rsidR="005A389B" w:rsidRDefault="005A38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D19F5" w14:textId="77777777" w:rsidR="00F95CEA" w:rsidRPr="002278E7" w:rsidRDefault="00F95CEA" w:rsidP="002278E7">
    <w:pPr>
      <w:pStyle w:val="Encabezado"/>
      <w:jc w:val="both"/>
      <w:rPr>
        <w:rFonts w:ascii="Avenir Next" w:hAnsi="Avenir Next"/>
      </w:rPr>
    </w:pPr>
    <w:bookmarkStart w:id="4" w:name="_Hlk109581184"/>
    <w:bookmarkStart w:id="5" w:name="_Hlk109581185"/>
    <w:r w:rsidRPr="00B46B2A">
      <w:rPr>
        <w:rFonts w:ascii="Avenir Next" w:hAnsi="Avenir Next"/>
      </w:rPr>
      <w:t xml:space="preserve">Revista </w:t>
    </w:r>
    <w:r w:rsidRPr="00B46B2A">
      <w:rPr>
        <w:rFonts w:ascii="Avenir Next" w:hAnsi="Avenir Next"/>
        <w:i/>
        <w:iCs/>
      </w:rPr>
      <w:t>Herencia</w:t>
    </w:r>
    <w:r w:rsidRPr="00B46B2A">
      <w:rPr>
        <w:rFonts w:ascii="Avenir Next" w:hAnsi="Avenir Next"/>
      </w:rPr>
      <w:t>, Vol. 36(1), enero-junio, 2023.</w:t>
    </w:r>
    <w:bookmarkEnd w:id="4"/>
    <w:bookmarkEnd w:id="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3715" w14:textId="30980CB2" w:rsidR="00F95CEA" w:rsidRDefault="000E2C9F" w:rsidP="000E2C9F">
    <w:pPr>
      <w:pStyle w:val="Encabezado"/>
      <w:jc w:val="both"/>
    </w:pPr>
    <w:r>
      <w:rPr>
        <w:rFonts w:ascii="Avenir Next" w:hAnsi="Avenir Next"/>
        <w:sz w:val="18"/>
        <w:szCs w:val="18"/>
      </w:rPr>
      <w:t xml:space="preserve">Rivera-Romero, M. C., Jaikel-Víquez, D., Cob-Delgado, M., Agüero Barrantes, M., Arce Cerdas, M., Monge Picado, M. J., Redondo-Solano, M. y Herrera Sancho, O. A. </w:t>
    </w:r>
    <w:r w:rsidR="00F95CEA" w:rsidRPr="00A77CA2">
      <w:rPr>
        <w:rFonts w:ascii="Avenir Next" w:hAnsi="Avenir Next"/>
        <w:sz w:val="18"/>
        <w:szCs w:val="18"/>
      </w:rPr>
      <w:t>(2023).</w:t>
    </w:r>
    <w:r w:rsidR="00F95CEA" w:rsidRPr="00A77CA2">
      <w:t xml:space="preserve"> </w:t>
    </w:r>
    <w:r w:rsidR="00F95CEA">
      <w:rPr>
        <w:rFonts w:ascii="Avenir Next" w:hAnsi="Avenir Next"/>
        <w:sz w:val="18"/>
        <w:szCs w:val="18"/>
      </w:rPr>
      <w:t>L</w:t>
    </w:r>
    <w:r w:rsidR="00F95CEA" w:rsidRPr="005220F7">
      <w:rPr>
        <w:rFonts w:ascii="Avenir Next" w:hAnsi="Avenir Next"/>
        <w:sz w:val="18"/>
        <w:szCs w:val="18"/>
      </w:rPr>
      <w:t>a ciencia al servicio del arte: observaci</w:t>
    </w:r>
    <w:r w:rsidR="00F95CEA" w:rsidRPr="005220F7">
      <w:rPr>
        <w:rFonts w:ascii="Avenir Next" w:hAnsi="Avenir Next" w:hint="eastAsia"/>
        <w:sz w:val="18"/>
        <w:szCs w:val="18"/>
      </w:rPr>
      <w:t>ó</w:t>
    </w:r>
    <w:r w:rsidR="00F95CEA" w:rsidRPr="005220F7">
      <w:rPr>
        <w:rFonts w:ascii="Avenir Next" w:hAnsi="Avenir Next"/>
        <w:sz w:val="18"/>
        <w:szCs w:val="18"/>
      </w:rPr>
      <w:t>n de dos obras pict</w:t>
    </w:r>
    <w:r w:rsidR="00F95CEA" w:rsidRPr="005220F7">
      <w:rPr>
        <w:rFonts w:ascii="Avenir Next" w:hAnsi="Avenir Next" w:hint="eastAsia"/>
        <w:sz w:val="18"/>
        <w:szCs w:val="18"/>
      </w:rPr>
      <w:t>ó</w:t>
    </w:r>
    <w:r w:rsidR="00F95CEA" w:rsidRPr="005220F7">
      <w:rPr>
        <w:rFonts w:ascii="Avenir Next" w:hAnsi="Avenir Next"/>
        <w:sz w:val="18"/>
        <w:szCs w:val="18"/>
      </w:rPr>
      <w:t xml:space="preserve">ricas en acuarela de </w:t>
    </w:r>
    <w:r w:rsidR="00F95CEA">
      <w:rPr>
        <w:rFonts w:ascii="Avenir Next" w:hAnsi="Avenir Next"/>
        <w:sz w:val="18"/>
        <w:szCs w:val="18"/>
      </w:rPr>
      <w:t>F</w:t>
    </w:r>
    <w:r w:rsidR="00F95CEA" w:rsidRPr="005220F7">
      <w:rPr>
        <w:rFonts w:ascii="Avenir Next" w:hAnsi="Avenir Next"/>
        <w:sz w:val="18"/>
        <w:szCs w:val="18"/>
      </w:rPr>
      <w:t xml:space="preserve">austo </w:t>
    </w:r>
    <w:r w:rsidR="00F95CEA">
      <w:rPr>
        <w:rFonts w:ascii="Avenir Next" w:hAnsi="Avenir Next"/>
        <w:sz w:val="18"/>
        <w:szCs w:val="18"/>
      </w:rPr>
      <w:t>P</w:t>
    </w:r>
    <w:r w:rsidR="00F95CEA" w:rsidRPr="005220F7">
      <w:rPr>
        <w:rFonts w:ascii="Avenir Next" w:hAnsi="Avenir Next"/>
        <w:sz w:val="18"/>
        <w:szCs w:val="18"/>
      </w:rPr>
      <w:t>acheco por medio de an</w:t>
    </w:r>
    <w:r w:rsidR="00F95CEA" w:rsidRPr="005220F7">
      <w:rPr>
        <w:rFonts w:ascii="Avenir Next" w:hAnsi="Avenir Next" w:hint="eastAsia"/>
        <w:sz w:val="18"/>
        <w:szCs w:val="18"/>
      </w:rPr>
      <w:t>á</w:t>
    </w:r>
    <w:r w:rsidR="00F95CEA" w:rsidRPr="005220F7">
      <w:rPr>
        <w:rFonts w:ascii="Avenir Next" w:hAnsi="Avenir Next"/>
        <w:sz w:val="18"/>
        <w:szCs w:val="18"/>
      </w:rPr>
      <w:t>lisis m</w:t>
    </w:r>
    <w:r w:rsidR="00F95CEA" w:rsidRPr="005220F7">
      <w:rPr>
        <w:rFonts w:ascii="Avenir Next" w:hAnsi="Avenir Next" w:hint="eastAsia"/>
        <w:sz w:val="18"/>
        <w:szCs w:val="18"/>
      </w:rPr>
      <w:t>ú</w:t>
    </w:r>
    <w:r w:rsidR="00F95CEA" w:rsidRPr="005220F7">
      <w:rPr>
        <w:rFonts w:ascii="Avenir Next" w:hAnsi="Avenir Next"/>
        <w:sz w:val="18"/>
        <w:szCs w:val="18"/>
      </w:rPr>
      <w:t>ltiple</w:t>
    </w:r>
    <w:r w:rsidR="00F95CEA">
      <w:rPr>
        <w:rFonts w:ascii="Avenir Next" w:hAnsi="Avenir Next"/>
        <w:sz w:val="18"/>
        <w:szCs w:val="18"/>
      </w:rPr>
      <w:t xml:space="preserve">. </w:t>
    </w:r>
    <w:r w:rsidR="00F95CEA" w:rsidRPr="00A77CA2">
      <w:rPr>
        <w:rFonts w:ascii="Avenir Next" w:hAnsi="Avenir Next"/>
        <w:i/>
        <w:iCs/>
        <w:sz w:val="18"/>
        <w:szCs w:val="18"/>
      </w:rPr>
      <w:t>Revista Herencia</w:t>
    </w:r>
    <w:r w:rsidR="00F95CEA" w:rsidRPr="00A77CA2">
      <w:rPr>
        <w:rFonts w:ascii="Avenir Next" w:hAnsi="Avenir Next"/>
        <w:sz w:val="18"/>
        <w:szCs w:val="18"/>
      </w:rPr>
      <w:t>,</w:t>
    </w:r>
    <w:r w:rsidR="00F95CEA" w:rsidRPr="00A77CA2">
      <w:rPr>
        <w:rFonts w:ascii="Avenir Next" w:hAnsi="Avenir Next"/>
        <w:i/>
        <w:iCs/>
        <w:sz w:val="18"/>
        <w:szCs w:val="18"/>
      </w:rPr>
      <w:t xml:space="preserve"> 36</w:t>
    </w:r>
    <w:r w:rsidR="00F95CEA" w:rsidRPr="00A77CA2">
      <w:rPr>
        <w:rFonts w:ascii="Avenir Next" w:hAnsi="Avenir Next"/>
        <w:sz w:val="18"/>
        <w:szCs w:val="18"/>
      </w:rPr>
      <w:t>(1), enero-junio, p.</w:t>
    </w:r>
    <w:r w:rsidR="00B420CA">
      <w:rPr>
        <w:rFonts w:ascii="Avenir Next" w:hAnsi="Avenir Next"/>
        <w:sz w:val="18"/>
        <w:szCs w:val="18"/>
      </w:rPr>
      <w:t xml:space="preserve"> 11-42.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44113"/>
    <w:rsid w:val="0000216A"/>
    <w:rsid w:val="00006598"/>
    <w:rsid w:val="00013152"/>
    <w:rsid w:val="00014080"/>
    <w:rsid w:val="000151F3"/>
    <w:rsid w:val="000212F7"/>
    <w:rsid w:val="00033536"/>
    <w:rsid w:val="0003359F"/>
    <w:rsid w:val="000375C9"/>
    <w:rsid w:val="00054FA2"/>
    <w:rsid w:val="0006162B"/>
    <w:rsid w:val="00064202"/>
    <w:rsid w:val="0006572B"/>
    <w:rsid w:val="0006787D"/>
    <w:rsid w:val="00077947"/>
    <w:rsid w:val="00080987"/>
    <w:rsid w:val="000821A8"/>
    <w:rsid w:val="00090851"/>
    <w:rsid w:val="000A1311"/>
    <w:rsid w:val="000A491A"/>
    <w:rsid w:val="000B7D51"/>
    <w:rsid w:val="000C0293"/>
    <w:rsid w:val="000C1583"/>
    <w:rsid w:val="000D5C91"/>
    <w:rsid w:val="000E0355"/>
    <w:rsid w:val="000E175A"/>
    <w:rsid w:val="000E2C9F"/>
    <w:rsid w:val="000F2088"/>
    <w:rsid w:val="000F6F6E"/>
    <w:rsid w:val="0010251A"/>
    <w:rsid w:val="001105CC"/>
    <w:rsid w:val="00113447"/>
    <w:rsid w:val="001160CB"/>
    <w:rsid w:val="00141C32"/>
    <w:rsid w:val="00144113"/>
    <w:rsid w:val="001506B2"/>
    <w:rsid w:val="00151995"/>
    <w:rsid w:val="00164B95"/>
    <w:rsid w:val="00172CDD"/>
    <w:rsid w:val="0017354F"/>
    <w:rsid w:val="001854E8"/>
    <w:rsid w:val="001911ED"/>
    <w:rsid w:val="001927A1"/>
    <w:rsid w:val="001946D4"/>
    <w:rsid w:val="00197B63"/>
    <w:rsid w:val="001A06B9"/>
    <w:rsid w:val="001A2D18"/>
    <w:rsid w:val="001A2EB8"/>
    <w:rsid w:val="001A34C5"/>
    <w:rsid w:val="001A7F10"/>
    <w:rsid w:val="001B2640"/>
    <w:rsid w:val="001B3844"/>
    <w:rsid w:val="001C706B"/>
    <w:rsid w:val="001D1352"/>
    <w:rsid w:val="001D768C"/>
    <w:rsid w:val="001E2D4A"/>
    <w:rsid w:val="001F7257"/>
    <w:rsid w:val="00202983"/>
    <w:rsid w:val="002029FD"/>
    <w:rsid w:val="00224E9D"/>
    <w:rsid w:val="002278E7"/>
    <w:rsid w:val="00236C49"/>
    <w:rsid w:val="002536CD"/>
    <w:rsid w:val="002667B2"/>
    <w:rsid w:val="0027223E"/>
    <w:rsid w:val="00273DD7"/>
    <w:rsid w:val="002772BD"/>
    <w:rsid w:val="00280120"/>
    <w:rsid w:val="002850FE"/>
    <w:rsid w:val="002A0862"/>
    <w:rsid w:val="002A2D68"/>
    <w:rsid w:val="002A6A69"/>
    <w:rsid w:val="002A748D"/>
    <w:rsid w:val="002B24E7"/>
    <w:rsid w:val="002D663C"/>
    <w:rsid w:val="002E1A48"/>
    <w:rsid w:val="002F282B"/>
    <w:rsid w:val="002F4397"/>
    <w:rsid w:val="002F597C"/>
    <w:rsid w:val="002F6610"/>
    <w:rsid w:val="0030036E"/>
    <w:rsid w:val="003137E7"/>
    <w:rsid w:val="00324A37"/>
    <w:rsid w:val="00333D5B"/>
    <w:rsid w:val="00343B45"/>
    <w:rsid w:val="00344958"/>
    <w:rsid w:val="00351038"/>
    <w:rsid w:val="00354FF4"/>
    <w:rsid w:val="00355707"/>
    <w:rsid w:val="00355A4A"/>
    <w:rsid w:val="0035716C"/>
    <w:rsid w:val="00357A6B"/>
    <w:rsid w:val="00367CB9"/>
    <w:rsid w:val="00375A90"/>
    <w:rsid w:val="00396D3B"/>
    <w:rsid w:val="003B565C"/>
    <w:rsid w:val="003D1A55"/>
    <w:rsid w:val="003E0705"/>
    <w:rsid w:val="003E7359"/>
    <w:rsid w:val="003F26A8"/>
    <w:rsid w:val="003F2790"/>
    <w:rsid w:val="003F362E"/>
    <w:rsid w:val="003F5BC4"/>
    <w:rsid w:val="003F63D4"/>
    <w:rsid w:val="003F6FAE"/>
    <w:rsid w:val="00410D4F"/>
    <w:rsid w:val="00413EF7"/>
    <w:rsid w:val="0041716B"/>
    <w:rsid w:val="00417EC8"/>
    <w:rsid w:val="00431469"/>
    <w:rsid w:val="00431694"/>
    <w:rsid w:val="0043366E"/>
    <w:rsid w:val="00441559"/>
    <w:rsid w:val="00443701"/>
    <w:rsid w:val="00450257"/>
    <w:rsid w:val="00454FAC"/>
    <w:rsid w:val="004613C7"/>
    <w:rsid w:val="004723B8"/>
    <w:rsid w:val="004763DA"/>
    <w:rsid w:val="00476E16"/>
    <w:rsid w:val="00480139"/>
    <w:rsid w:val="00486079"/>
    <w:rsid w:val="004860F8"/>
    <w:rsid w:val="00495656"/>
    <w:rsid w:val="004966D2"/>
    <w:rsid w:val="004A4551"/>
    <w:rsid w:val="004A4770"/>
    <w:rsid w:val="004B6115"/>
    <w:rsid w:val="004C1431"/>
    <w:rsid w:val="004D4FD0"/>
    <w:rsid w:val="004E3ECA"/>
    <w:rsid w:val="004F4054"/>
    <w:rsid w:val="004F6EC1"/>
    <w:rsid w:val="0050360C"/>
    <w:rsid w:val="005076C1"/>
    <w:rsid w:val="00513219"/>
    <w:rsid w:val="00515BEA"/>
    <w:rsid w:val="00516248"/>
    <w:rsid w:val="00521DEA"/>
    <w:rsid w:val="005220F7"/>
    <w:rsid w:val="005238B0"/>
    <w:rsid w:val="005270F3"/>
    <w:rsid w:val="005347DD"/>
    <w:rsid w:val="00537A40"/>
    <w:rsid w:val="00547D1A"/>
    <w:rsid w:val="00562425"/>
    <w:rsid w:val="00580BAA"/>
    <w:rsid w:val="00595731"/>
    <w:rsid w:val="005965C0"/>
    <w:rsid w:val="005A389B"/>
    <w:rsid w:val="005A492D"/>
    <w:rsid w:val="005C135E"/>
    <w:rsid w:val="005D74EB"/>
    <w:rsid w:val="005D7AD3"/>
    <w:rsid w:val="005E2958"/>
    <w:rsid w:val="00604264"/>
    <w:rsid w:val="00636B6D"/>
    <w:rsid w:val="00637131"/>
    <w:rsid w:val="00653F1B"/>
    <w:rsid w:val="00661E43"/>
    <w:rsid w:val="00664772"/>
    <w:rsid w:val="00675FD2"/>
    <w:rsid w:val="00695AAE"/>
    <w:rsid w:val="00697A35"/>
    <w:rsid w:val="006A00DC"/>
    <w:rsid w:val="006A68B2"/>
    <w:rsid w:val="006B2140"/>
    <w:rsid w:val="006D0E60"/>
    <w:rsid w:val="006D1041"/>
    <w:rsid w:val="006D389F"/>
    <w:rsid w:val="006F21D4"/>
    <w:rsid w:val="006F2B2F"/>
    <w:rsid w:val="006F3E17"/>
    <w:rsid w:val="007025BD"/>
    <w:rsid w:val="007026AD"/>
    <w:rsid w:val="0071389F"/>
    <w:rsid w:val="00721503"/>
    <w:rsid w:val="00732787"/>
    <w:rsid w:val="00743458"/>
    <w:rsid w:val="007508D2"/>
    <w:rsid w:val="00760E26"/>
    <w:rsid w:val="00762C3A"/>
    <w:rsid w:val="007631C6"/>
    <w:rsid w:val="007744FD"/>
    <w:rsid w:val="007801BB"/>
    <w:rsid w:val="00781751"/>
    <w:rsid w:val="00796B5B"/>
    <w:rsid w:val="007A6EBB"/>
    <w:rsid w:val="007B3547"/>
    <w:rsid w:val="007B6A5E"/>
    <w:rsid w:val="007D14C7"/>
    <w:rsid w:val="007D21FB"/>
    <w:rsid w:val="007E3B2F"/>
    <w:rsid w:val="00803745"/>
    <w:rsid w:val="00805305"/>
    <w:rsid w:val="00806C05"/>
    <w:rsid w:val="008126E1"/>
    <w:rsid w:val="00815553"/>
    <w:rsid w:val="0081654B"/>
    <w:rsid w:val="00835207"/>
    <w:rsid w:val="00846D40"/>
    <w:rsid w:val="00847B2A"/>
    <w:rsid w:val="008623B5"/>
    <w:rsid w:val="00862C88"/>
    <w:rsid w:val="00864344"/>
    <w:rsid w:val="008661B1"/>
    <w:rsid w:val="00874B9D"/>
    <w:rsid w:val="00880397"/>
    <w:rsid w:val="008811FF"/>
    <w:rsid w:val="00881C2D"/>
    <w:rsid w:val="00884D8B"/>
    <w:rsid w:val="008A4B8B"/>
    <w:rsid w:val="008A60B6"/>
    <w:rsid w:val="008D7151"/>
    <w:rsid w:val="008F18CE"/>
    <w:rsid w:val="008F27BA"/>
    <w:rsid w:val="008F3173"/>
    <w:rsid w:val="008F5770"/>
    <w:rsid w:val="008F6DB3"/>
    <w:rsid w:val="008F7AAD"/>
    <w:rsid w:val="00964DCE"/>
    <w:rsid w:val="00990D92"/>
    <w:rsid w:val="009A2451"/>
    <w:rsid w:val="009A4965"/>
    <w:rsid w:val="009A529F"/>
    <w:rsid w:val="009A72C0"/>
    <w:rsid w:val="009A7E7F"/>
    <w:rsid w:val="009B5AF7"/>
    <w:rsid w:val="009D6FCE"/>
    <w:rsid w:val="009E7A13"/>
    <w:rsid w:val="009E7AA2"/>
    <w:rsid w:val="00A00DC1"/>
    <w:rsid w:val="00A113CF"/>
    <w:rsid w:val="00A223CC"/>
    <w:rsid w:val="00A304EA"/>
    <w:rsid w:val="00A34CA0"/>
    <w:rsid w:val="00A40D35"/>
    <w:rsid w:val="00A43859"/>
    <w:rsid w:val="00A44DC7"/>
    <w:rsid w:val="00A45721"/>
    <w:rsid w:val="00A6009A"/>
    <w:rsid w:val="00A74F16"/>
    <w:rsid w:val="00A81C7F"/>
    <w:rsid w:val="00A841EB"/>
    <w:rsid w:val="00A84454"/>
    <w:rsid w:val="00A85F27"/>
    <w:rsid w:val="00A938A1"/>
    <w:rsid w:val="00AA0F70"/>
    <w:rsid w:val="00AA5394"/>
    <w:rsid w:val="00AA5770"/>
    <w:rsid w:val="00AB63AD"/>
    <w:rsid w:val="00AB7560"/>
    <w:rsid w:val="00AC4748"/>
    <w:rsid w:val="00AC4C44"/>
    <w:rsid w:val="00AD0ED7"/>
    <w:rsid w:val="00AD48BB"/>
    <w:rsid w:val="00AE2F1A"/>
    <w:rsid w:val="00B10C44"/>
    <w:rsid w:val="00B130B7"/>
    <w:rsid w:val="00B17816"/>
    <w:rsid w:val="00B25322"/>
    <w:rsid w:val="00B32B2E"/>
    <w:rsid w:val="00B359C1"/>
    <w:rsid w:val="00B41E3F"/>
    <w:rsid w:val="00B420CA"/>
    <w:rsid w:val="00B45048"/>
    <w:rsid w:val="00B45279"/>
    <w:rsid w:val="00B50BDF"/>
    <w:rsid w:val="00B52C18"/>
    <w:rsid w:val="00B607F7"/>
    <w:rsid w:val="00B620D2"/>
    <w:rsid w:val="00B62E71"/>
    <w:rsid w:val="00B6502E"/>
    <w:rsid w:val="00B710D7"/>
    <w:rsid w:val="00B73C0F"/>
    <w:rsid w:val="00B76D30"/>
    <w:rsid w:val="00B77FB9"/>
    <w:rsid w:val="00B874A9"/>
    <w:rsid w:val="00B90001"/>
    <w:rsid w:val="00B904DB"/>
    <w:rsid w:val="00B91598"/>
    <w:rsid w:val="00B975C1"/>
    <w:rsid w:val="00BA64EF"/>
    <w:rsid w:val="00BB3447"/>
    <w:rsid w:val="00BB41FD"/>
    <w:rsid w:val="00BC266D"/>
    <w:rsid w:val="00BD27A6"/>
    <w:rsid w:val="00BD5E3D"/>
    <w:rsid w:val="00BE675B"/>
    <w:rsid w:val="00BF04DB"/>
    <w:rsid w:val="00C06EFC"/>
    <w:rsid w:val="00C12E6E"/>
    <w:rsid w:val="00C25489"/>
    <w:rsid w:val="00C33431"/>
    <w:rsid w:val="00C45952"/>
    <w:rsid w:val="00C46BFA"/>
    <w:rsid w:val="00C522A9"/>
    <w:rsid w:val="00C62C55"/>
    <w:rsid w:val="00C6435D"/>
    <w:rsid w:val="00C82691"/>
    <w:rsid w:val="00CC0913"/>
    <w:rsid w:val="00CC5498"/>
    <w:rsid w:val="00CD1B7A"/>
    <w:rsid w:val="00CD3194"/>
    <w:rsid w:val="00CE27AD"/>
    <w:rsid w:val="00CE42AB"/>
    <w:rsid w:val="00CE4E35"/>
    <w:rsid w:val="00CF4FA7"/>
    <w:rsid w:val="00CF5DD1"/>
    <w:rsid w:val="00CF6DB8"/>
    <w:rsid w:val="00D03A27"/>
    <w:rsid w:val="00D04B24"/>
    <w:rsid w:val="00D17815"/>
    <w:rsid w:val="00D23F0C"/>
    <w:rsid w:val="00D249FD"/>
    <w:rsid w:val="00D41DFB"/>
    <w:rsid w:val="00D43499"/>
    <w:rsid w:val="00D5362D"/>
    <w:rsid w:val="00D55D47"/>
    <w:rsid w:val="00D57733"/>
    <w:rsid w:val="00D62486"/>
    <w:rsid w:val="00D632BE"/>
    <w:rsid w:val="00D71825"/>
    <w:rsid w:val="00D821D0"/>
    <w:rsid w:val="00D82FB4"/>
    <w:rsid w:val="00D852A9"/>
    <w:rsid w:val="00D90563"/>
    <w:rsid w:val="00D91409"/>
    <w:rsid w:val="00D919E0"/>
    <w:rsid w:val="00D92F0A"/>
    <w:rsid w:val="00D95965"/>
    <w:rsid w:val="00DB27DE"/>
    <w:rsid w:val="00DB680C"/>
    <w:rsid w:val="00DD1426"/>
    <w:rsid w:val="00DD167B"/>
    <w:rsid w:val="00DD40BC"/>
    <w:rsid w:val="00DD76C0"/>
    <w:rsid w:val="00DE3612"/>
    <w:rsid w:val="00DE6E30"/>
    <w:rsid w:val="00DE71E8"/>
    <w:rsid w:val="00DF2B28"/>
    <w:rsid w:val="00DF4543"/>
    <w:rsid w:val="00DF50BB"/>
    <w:rsid w:val="00E02950"/>
    <w:rsid w:val="00E21361"/>
    <w:rsid w:val="00E319B2"/>
    <w:rsid w:val="00E3510A"/>
    <w:rsid w:val="00E351C7"/>
    <w:rsid w:val="00E4009A"/>
    <w:rsid w:val="00E44169"/>
    <w:rsid w:val="00E51725"/>
    <w:rsid w:val="00E603D4"/>
    <w:rsid w:val="00E622A1"/>
    <w:rsid w:val="00E72FB1"/>
    <w:rsid w:val="00E7453C"/>
    <w:rsid w:val="00E83042"/>
    <w:rsid w:val="00E91383"/>
    <w:rsid w:val="00EA04EF"/>
    <w:rsid w:val="00EA4134"/>
    <w:rsid w:val="00EA473C"/>
    <w:rsid w:val="00EB1EE7"/>
    <w:rsid w:val="00EC07CD"/>
    <w:rsid w:val="00EC2604"/>
    <w:rsid w:val="00ED422A"/>
    <w:rsid w:val="00EE1787"/>
    <w:rsid w:val="00EE43CF"/>
    <w:rsid w:val="00EF0FF4"/>
    <w:rsid w:val="00F00049"/>
    <w:rsid w:val="00F01B03"/>
    <w:rsid w:val="00F10287"/>
    <w:rsid w:val="00F1550E"/>
    <w:rsid w:val="00F31FF6"/>
    <w:rsid w:val="00F34DC3"/>
    <w:rsid w:val="00F37894"/>
    <w:rsid w:val="00F43369"/>
    <w:rsid w:val="00F4526B"/>
    <w:rsid w:val="00F518D8"/>
    <w:rsid w:val="00F53FF0"/>
    <w:rsid w:val="00F607BD"/>
    <w:rsid w:val="00F66686"/>
    <w:rsid w:val="00F671ED"/>
    <w:rsid w:val="00F7180E"/>
    <w:rsid w:val="00F87849"/>
    <w:rsid w:val="00F911F2"/>
    <w:rsid w:val="00F93A95"/>
    <w:rsid w:val="00F95CEA"/>
    <w:rsid w:val="00FA5A56"/>
    <w:rsid w:val="00FB1FBE"/>
    <w:rsid w:val="00FB2095"/>
    <w:rsid w:val="00FC4F78"/>
    <w:rsid w:val="00FD62CE"/>
    <w:rsid w:val="00FD7FAD"/>
    <w:rsid w:val="00FE1243"/>
    <w:rsid w:val="00FF6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25796881"/>
  <w15:docId w15:val="{E94FB4EE-C5D0-354F-AEC7-252A29BA0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CR"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1C6"/>
  </w:style>
  <w:style w:type="paragraph" w:styleId="Ttulo1">
    <w:name w:val="heading 1"/>
    <w:basedOn w:val="Normal"/>
    <w:next w:val="Normal"/>
    <w:uiPriority w:val="9"/>
    <w:qFormat/>
    <w:rsid w:val="007631C6"/>
    <w:pPr>
      <w:keepNext/>
      <w:keepLines/>
      <w:spacing w:before="400" w:after="120"/>
      <w:outlineLvl w:val="0"/>
    </w:pPr>
    <w:rPr>
      <w:sz w:val="40"/>
      <w:szCs w:val="40"/>
    </w:rPr>
  </w:style>
  <w:style w:type="paragraph" w:styleId="Ttulo2">
    <w:name w:val="heading 2"/>
    <w:basedOn w:val="Normal"/>
    <w:next w:val="Normal"/>
    <w:uiPriority w:val="9"/>
    <w:semiHidden/>
    <w:unhideWhenUsed/>
    <w:qFormat/>
    <w:rsid w:val="007631C6"/>
    <w:pPr>
      <w:keepNext/>
      <w:keepLines/>
      <w:spacing w:before="360" w:after="120"/>
      <w:outlineLvl w:val="1"/>
    </w:pPr>
    <w:rPr>
      <w:sz w:val="32"/>
      <w:szCs w:val="32"/>
    </w:rPr>
  </w:style>
  <w:style w:type="paragraph" w:styleId="Ttulo3">
    <w:name w:val="heading 3"/>
    <w:basedOn w:val="Normal"/>
    <w:next w:val="Normal"/>
    <w:uiPriority w:val="9"/>
    <w:semiHidden/>
    <w:unhideWhenUsed/>
    <w:qFormat/>
    <w:rsid w:val="007631C6"/>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rsid w:val="007631C6"/>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rsid w:val="007631C6"/>
    <w:pPr>
      <w:keepNext/>
      <w:keepLines/>
      <w:spacing w:before="240" w:after="80"/>
      <w:outlineLvl w:val="4"/>
    </w:pPr>
    <w:rPr>
      <w:color w:val="666666"/>
    </w:rPr>
  </w:style>
  <w:style w:type="paragraph" w:styleId="Ttulo6">
    <w:name w:val="heading 6"/>
    <w:basedOn w:val="Normal"/>
    <w:next w:val="Normal"/>
    <w:uiPriority w:val="9"/>
    <w:semiHidden/>
    <w:unhideWhenUsed/>
    <w:qFormat/>
    <w:rsid w:val="007631C6"/>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7631C6"/>
    <w:tblPr>
      <w:tblCellMar>
        <w:top w:w="0" w:type="dxa"/>
        <w:left w:w="0" w:type="dxa"/>
        <w:bottom w:w="0" w:type="dxa"/>
        <w:right w:w="0" w:type="dxa"/>
      </w:tblCellMar>
    </w:tblPr>
  </w:style>
  <w:style w:type="paragraph" w:styleId="Puesto">
    <w:name w:val="Title"/>
    <w:basedOn w:val="Normal"/>
    <w:next w:val="Normal"/>
    <w:uiPriority w:val="10"/>
    <w:qFormat/>
    <w:rsid w:val="007631C6"/>
    <w:pPr>
      <w:keepNext/>
      <w:keepLines/>
      <w:spacing w:after="60"/>
    </w:pPr>
    <w:rPr>
      <w:sz w:val="52"/>
      <w:szCs w:val="52"/>
    </w:rPr>
  </w:style>
  <w:style w:type="paragraph" w:styleId="Subttulo">
    <w:name w:val="Subtitle"/>
    <w:basedOn w:val="Normal"/>
    <w:next w:val="Normal"/>
    <w:uiPriority w:val="11"/>
    <w:qFormat/>
    <w:rsid w:val="007631C6"/>
    <w:pPr>
      <w:keepNext/>
      <w:keepLines/>
      <w:spacing w:after="320"/>
    </w:pPr>
    <w:rPr>
      <w:color w:val="666666"/>
      <w:sz w:val="30"/>
      <w:szCs w:val="30"/>
    </w:rPr>
  </w:style>
  <w:style w:type="table" w:customStyle="1" w:styleId="a">
    <w:basedOn w:val="TableNormal"/>
    <w:rsid w:val="007631C6"/>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4860F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860F8"/>
  </w:style>
  <w:style w:type="paragraph" w:styleId="Piedepgina">
    <w:name w:val="footer"/>
    <w:basedOn w:val="Normal"/>
    <w:link w:val="PiedepginaCar"/>
    <w:uiPriority w:val="99"/>
    <w:unhideWhenUsed/>
    <w:rsid w:val="004860F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860F8"/>
  </w:style>
  <w:style w:type="paragraph" w:styleId="Sinespaciado">
    <w:name w:val="No Spacing"/>
    <w:link w:val="SinespaciadoCar"/>
    <w:uiPriority w:val="1"/>
    <w:qFormat/>
    <w:rsid w:val="00F911F2"/>
    <w:pPr>
      <w:spacing w:line="240" w:lineRule="auto"/>
    </w:pPr>
    <w:rPr>
      <w:rFonts w:asciiTheme="minorHAnsi" w:eastAsiaTheme="minorHAnsi" w:hAnsiTheme="minorHAnsi" w:cstheme="minorBidi"/>
      <w:lang w:val="es-EC" w:eastAsia="en-US"/>
    </w:rPr>
  </w:style>
  <w:style w:type="character" w:customStyle="1" w:styleId="SinespaciadoCar">
    <w:name w:val="Sin espaciado Car"/>
    <w:link w:val="Sinespaciado"/>
    <w:uiPriority w:val="1"/>
    <w:rsid w:val="00F911F2"/>
    <w:rPr>
      <w:rFonts w:asciiTheme="minorHAnsi" w:eastAsiaTheme="minorHAnsi" w:hAnsiTheme="minorHAnsi" w:cstheme="minorBidi"/>
      <w:lang w:val="es-EC" w:eastAsia="en-US"/>
    </w:rPr>
  </w:style>
  <w:style w:type="character" w:styleId="Refdecomentario">
    <w:name w:val="annotation reference"/>
    <w:basedOn w:val="Fuentedeprrafopredeter"/>
    <w:uiPriority w:val="99"/>
    <w:semiHidden/>
    <w:unhideWhenUsed/>
    <w:rsid w:val="00E44169"/>
    <w:rPr>
      <w:sz w:val="16"/>
      <w:szCs w:val="16"/>
    </w:rPr>
  </w:style>
  <w:style w:type="paragraph" w:styleId="Textocomentario">
    <w:name w:val="annotation text"/>
    <w:basedOn w:val="Normal"/>
    <w:link w:val="TextocomentarioCar"/>
    <w:uiPriority w:val="99"/>
    <w:unhideWhenUsed/>
    <w:rsid w:val="00E44169"/>
    <w:pPr>
      <w:spacing w:line="240" w:lineRule="auto"/>
    </w:pPr>
    <w:rPr>
      <w:sz w:val="20"/>
      <w:szCs w:val="20"/>
    </w:rPr>
  </w:style>
  <w:style w:type="character" w:customStyle="1" w:styleId="TextocomentarioCar">
    <w:name w:val="Texto comentario Car"/>
    <w:basedOn w:val="Fuentedeprrafopredeter"/>
    <w:link w:val="Textocomentario"/>
    <w:uiPriority w:val="99"/>
    <w:rsid w:val="00E44169"/>
    <w:rPr>
      <w:sz w:val="20"/>
      <w:szCs w:val="20"/>
    </w:rPr>
  </w:style>
  <w:style w:type="paragraph" w:styleId="Asuntodelcomentario">
    <w:name w:val="annotation subject"/>
    <w:basedOn w:val="Textocomentario"/>
    <w:next w:val="Textocomentario"/>
    <w:link w:val="AsuntodelcomentarioCar"/>
    <w:uiPriority w:val="99"/>
    <w:semiHidden/>
    <w:unhideWhenUsed/>
    <w:rsid w:val="00E44169"/>
    <w:rPr>
      <w:b/>
      <w:bCs/>
    </w:rPr>
  </w:style>
  <w:style w:type="character" w:customStyle="1" w:styleId="AsuntodelcomentarioCar">
    <w:name w:val="Asunto del comentario Car"/>
    <w:basedOn w:val="TextocomentarioCar"/>
    <w:link w:val="Asuntodelcomentario"/>
    <w:uiPriority w:val="99"/>
    <w:semiHidden/>
    <w:rsid w:val="00E44169"/>
    <w:rPr>
      <w:b/>
      <w:bCs/>
      <w:sz w:val="20"/>
      <w:szCs w:val="20"/>
    </w:rPr>
  </w:style>
  <w:style w:type="paragraph" w:styleId="Textodeglobo">
    <w:name w:val="Balloon Text"/>
    <w:basedOn w:val="Normal"/>
    <w:link w:val="TextodegloboCar"/>
    <w:uiPriority w:val="99"/>
    <w:semiHidden/>
    <w:unhideWhenUsed/>
    <w:rsid w:val="0073278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2787"/>
    <w:rPr>
      <w:rFonts w:ascii="Tahoma" w:hAnsi="Tahoma" w:cs="Tahoma"/>
      <w:sz w:val="16"/>
      <w:szCs w:val="16"/>
    </w:rPr>
  </w:style>
  <w:style w:type="character" w:styleId="Hipervnculo">
    <w:name w:val="Hyperlink"/>
    <w:basedOn w:val="Fuentedeprrafopredeter"/>
    <w:uiPriority w:val="99"/>
    <w:unhideWhenUsed/>
    <w:rsid w:val="00C62C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uraduria.arte.mbccr@gmail.com" TargetMode="External"/><Relationship Id="rId18" Type="http://schemas.openxmlformats.org/officeDocument/2006/relationships/image" Target="media/image3.jpeg"/><Relationship Id="rId26" Type="http://schemas.openxmlformats.org/officeDocument/2006/relationships/hyperlink" Target="https://doi.org/10.1038/s41598-021-88066-1" TargetMode="External"/><Relationship Id="rId39" Type="http://schemas.openxmlformats.org/officeDocument/2006/relationships/hyperlink" Target="https://dx.doi.org/10.4103%2F0019-5278.43262" TargetMode="External"/><Relationship Id="rId21" Type="http://schemas.openxmlformats.org/officeDocument/2006/relationships/image" Target="media/image5.jpeg"/><Relationship Id="rId34" Type="http://schemas.openxmlformats.org/officeDocument/2006/relationships/hyperlink" Target="https://doi.org/10.14568/cp2015006" TargetMode="External"/><Relationship Id="rId42" Type="http://schemas.openxmlformats.org/officeDocument/2006/relationships/hyperlink" Target="https://doi.org/10.1016/j.foodcont.2016.04.012" TargetMode="External"/><Relationship Id="rId47" Type="http://schemas.openxmlformats.org/officeDocument/2006/relationships/hyperlink" Target="http://dx.doi.org/10.4172/1948-593X.1000046" TargetMode="External"/><Relationship Id="rId50" Type="http://schemas.openxmlformats.org/officeDocument/2006/relationships/hyperlink" Target="https://doi.org/10.1016/j.microc.2017.10.008" TargetMode="External"/><Relationship Id="rId55" Type="http://schemas.openxmlformats.org/officeDocument/2006/relationships/hyperlink" Target="https://doi.org/10.1128/MRA.01370-19" TargetMode="External"/><Relationship Id="rId63" Type="http://schemas.openxmlformats.org/officeDocument/2006/relationships/footer" Target="footer2.xml"/><Relationship Id="rId7" Type="http://schemas.openxmlformats.org/officeDocument/2006/relationships/hyperlink" Target="mailto:melania.riveraromero@ucr.ac.cr"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4.jpeg"/><Relationship Id="rId29" Type="http://schemas.openxmlformats.org/officeDocument/2006/relationships/hyperlink" Target="https://doi.org/10.1016/j.culher.2020.02.010" TargetMode="External"/><Relationship Id="rId41" Type="http://schemas.openxmlformats.org/officeDocument/2006/relationships/hyperlink" Target="https://doi.org/10.1007/s00339-015-9425-4" TargetMode="External"/><Relationship Id="rId54" Type="http://schemas.openxmlformats.org/officeDocument/2006/relationships/hyperlink" Target="https://doi.org/10.1016/j.funbio.2021.11.001"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GUEROBM@bccr.fi.cr" TargetMode="External"/><Relationship Id="rId24" Type="http://schemas.openxmlformats.org/officeDocument/2006/relationships/hyperlink" Target="https://doi.org/10.1111/1540_6245.jaac56.4.0349" TargetMode="External"/><Relationship Id="rId32" Type="http://schemas.openxmlformats.org/officeDocument/2006/relationships/hyperlink" Target="https://doi.org/10.1007/s00339-015-9140-1" TargetMode="External"/><Relationship Id="rId37" Type="http://schemas.openxmlformats.org/officeDocument/2006/relationships/hyperlink" Target="https://doi.org/10.1016/j.cmi.2019.02.023" TargetMode="External"/><Relationship Id="rId40" Type="http://schemas.openxmlformats.org/officeDocument/2006/relationships/hyperlink" Target="https://doi.org/10.1016/j.ibiod.2014.09.020" TargetMode="External"/><Relationship Id="rId45" Type="http://schemas.openxmlformats.org/officeDocument/2006/relationships/hyperlink" Target="https://doi.org/10.5334/jcms.172" TargetMode="External"/><Relationship Id="rId53" Type="http://schemas.openxmlformats.org/officeDocument/2006/relationships/hyperlink" Target="https://doi.org/10.1016/j.medmal.2015.09.011" TargetMode="External"/><Relationship Id="rId58"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mailto:oscar.herrerasancho@ucr.ac.cr" TargetMode="External"/><Relationship Id="rId23" Type="http://schemas.openxmlformats.org/officeDocument/2006/relationships/hyperlink" Target="https://doi.org/10.1016/j.culher.2020.12.003" TargetMode="External"/><Relationship Id="rId28" Type="http://schemas.openxmlformats.org/officeDocument/2006/relationships/hyperlink" Target="https://doi.org/10.1186/s40494-017-0143-4" TargetMode="External"/><Relationship Id="rId36" Type="http://schemas.openxmlformats.org/officeDocument/2006/relationships/hyperlink" Target="https://doi.org/10.1007/s12223-021-00880-2" TargetMode="External"/><Relationship Id="rId49" Type="http://schemas.openxmlformats.org/officeDocument/2006/relationships/hyperlink" Target="https://doi.org/10.1016/j.culher.2021.08.002" TargetMode="External"/><Relationship Id="rId57" Type="http://schemas.openxmlformats.org/officeDocument/2006/relationships/hyperlink" Target="about:blank" TargetMode="External"/><Relationship Id="rId61" Type="http://schemas.openxmlformats.org/officeDocument/2006/relationships/footer" Target="footer1.xml"/><Relationship Id="rId10" Type="http://schemas.openxmlformats.org/officeDocument/2006/relationships/hyperlink" Target="mailto:AGUEROBM@bccr.fi.cr" TargetMode="External"/><Relationship Id="rId19" Type="http://schemas.openxmlformats.org/officeDocument/2006/relationships/hyperlink" Target="https://github.com/andress5990/16_Intensity_Analysis" TargetMode="External"/><Relationship Id="rId31" Type="http://schemas.openxmlformats.org/officeDocument/2006/relationships/hyperlink" Target="https://doi.org/10.1186/s40494-020-00470-4" TargetMode="External"/><Relationship Id="rId44" Type="http://schemas.openxmlformats.org/officeDocument/2006/relationships/hyperlink" Target="https://doi.org/10.1016/j.ijbiomac.2013.10.027" TargetMode="External"/><Relationship Id="rId52" Type="http://schemas.openxmlformats.org/officeDocument/2006/relationships/hyperlink" Target="about:blank"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cob@inciensa.sa.cr" TargetMode="External"/><Relationship Id="rId14" Type="http://schemas.openxmlformats.org/officeDocument/2006/relationships/hyperlink" Target="mailto:oscar.herrerasancho@ucr.ac.cr" TargetMode="External"/><Relationship Id="rId22" Type="http://schemas.openxmlformats.org/officeDocument/2006/relationships/image" Target="media/image6.jpeg"/><Relationship Id="rId27" Type="http://schemas.openxmlformats.org/officeDocument/2006/relationships/hyperlink" Target="https://doi.org/10.1039/9781839161957-00404" TargetMode="External"/><Relationship Id="rId30" Type="http://schemas.openxmlformats.org/officeDocument/2006/relationships/hyperlink" Target="https://doi.org/10.1371/journal.pone.0207630" TargetMode="External"/><Relationship Id="rId35" Type="http://schemas.openxmlformats.org/officeDocument/2006/relationships/hyperlink" Target="https://doi.org/10.1186/s40494-019-0348-9" TargetMode="External"/><Relationship Id="rId43" Type="http://schemas.openxmlformats.org/officeDocument/2006/relationships/hyperlink" Target="https://doi.org/10.1007/s00339-011-6689-1" TargetMode="External"/><Relationship Id="rId48" Type="http://schemas.openxmlformats.org/officeDocument/2006/relationships/hyperlink" Target="https://doi.org/10.3390/ma14010177" TargetMode="External"/><Relationship Id="rId56" Type="http://schemas.openxmlformats.org/officeDocument/2006/relationships/hyperlink" Target="https://doi.org/10.1128/MRA.01370-19" TargetMode="External"/><Relationship Id="rId64" Type="http://schemas.openxmlformats.org/officeDocument/2006/relationships/fontTable" Target="fontTable.xml"/><Relationship Id="rId8" Type="http://schemas.openxmlformats.org/officeDocument/2006/relationships/hyperlink" Target="mailto:melania.riveraromero@ucr.ac.cr" TargetMode="External"/><Relationship Id="rId51" Type="http://schemas.openxmlformats.org/officeDocument/2006/relationships/hyperlink" Target="https://doi.org/10.5772/intechopen.98620" TargetMode="External"/><Relationship Id="rId3" Type="http://schemas.openxmlformats.org/officeDocument/2006/relationships/settings" Target="settings.xml"/><Relationship Id="rId12" Type="http://schemas.openxmlformats.org/officeDocument/2006/relationships/hyperlink" Target="mailto:arcecm@bccr.fi.cr" TargetMode="External"/><Relationship Id="rId17" Type="http://schemas.openxmlformats.org/officeDocument/2006/relationships/image" Target="media/image2.jpeg"/><Relationship Id="rId25" Type="http://schemas.openxmlformats.org/officeDocument/2006/relationships/hyperlink" Target="https://doi.org/10.1109/MSP.2005.1511835" TargetMode="External"/><Relationship Id="rId33" Type="http://schemas.openxmlformats.org/officeDocument/2006/relationships/hyperlink" Target="http://dx.doi.org/10.5334/jcms.1021224" TargetMode="External"/><Relationship Id="rId38" Type="http://schemas.openxmlformats.org/officeDocument/2006/relationships/hyperlink" Target="https://dx.doi.org/10.4103%2F0019-5278.43262" TargetMode="External"/><Relationship Id="rId46" Type="http://schemas.openxmlformats.org/officeDocument/2006/relationships/hyperlink" Target="https://doi.org/10.1103/physrevlett.108.158301" TargetMode="External"/><Relationship Id="rId59" Type="http://schemas.openxmlformats.org/officeDocument/2006/relationships/hyperlink" Target="https://doi.org/10.1371/journal.pone.02305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Issue>2</b:Issue>
    <b:Volume>27</b:Volume>
    <b:Year>2015</b:Year>
    <b:Pages>6-9</b:Pages>
    <b:SourceType>JournalArticle</b:SourceType>
    <b:Title>Multispectral imaging and the art expert</b:Title>
    <b:JournalName>Spectroscopy Europe</b:JournalName>
    <b:Gdcea>{"AccessedType":"Website"}</b:Gdcea>
    <b:Author>
      <b:Author>
        <b:NameList>
          <b:Person>
            <b:First>Antonino</b:First>
            <b:Last>Cosentino</b:Last>
          </b:Person>
        </b:NameList>
      </b:Author>
    </b:Author>
  </b:Source>
  <b:Source>
    <b:Tag>source2</b:Tag>
    <b:Issue>8560</b:Issue>
    <b:Volume>11</b:Volume>
    <b:Year>2021</b:Year>
    <b:Pages>1-16</b:Pages>
    <b:SourceType>JournalArticle</b:SourceType>
    <b:Title>Revealing time’s secrets at the National Theatre of Costa Rica via innovative software for cultural heritage research</b:Title>
    <b:StandardNumber>https://doi.org/10.1038/s41598-021-88066-1</b:StandardNumber>
    <b:JournalName>Scientific Reports</b:JournalName>
    <b:Gdcea>{"AccessedType":"Website"}</b:Gdcea>
    <b:Author>
      <b:Author>
        <b:NameList>
          <b:Person>
            <b:First>M.D</b:First>
            <b:Last>Barrantes-Madrigal</b:Last>
          </b:Person>
          <b:Person>
            <b:First>T</b:First>
            <b:Last>Zúñiga-Salas</b:Last>
          </b:Person>
          <b:Person>
            <b:First>R.R</b:First>
            <b:Last>Arce-Tucker</b:Last>
          </b:Person>
          <b:Person>
            <b:First>A</b:First>
            <b:Last>Chavarría-Umaña</b:Last>
          </b:Person>
          <b:Person>
            <b:First>J</b:First>
            <b:Last>Sánchez-Solís</b:Last>
          </b:Person>
          <b:Person>
            <b:First>J</b:First>
            <b:Last>Mena-Vega</b:Last>
          </b:Person>
          <b:Person>
            <b:First>K</b:First>
            <b:Last>Acuña-Umaña</b:Last>
          </b:Person>
          <b:Person>
            <b:First>M</b:First>
            <b:Last>Gómez-Tencio</b:Last>
          </b:Person>
          <b:Person>
            <b:First>K</b:First>
            <b:Last>Wang-Qiu</b:Last>
          </b:Person>
          <b:Person>
            <b:First>F</b:First>
            <b:Last>Lizano-Sánchez</b:Last>
          </b:Person>
          <b:Person>
            <b:First>C</b:First>
            <b:Last>Marín-Cruz</b:Last>
          </b:Person>
          <b:Person>
            <b:First>O.A</b:First>
            <b:Last>Herrera-Sancho</b:Last>
          </b:Person>
        </b:NameList>
      </b:Author>
    </b:Author>
  </b:Source>
  <b:Source>
    <b:Tag>source3</b:Tag>
    <b:Issue>1</b:Issue>
    <b:Volume>13</b:Volume>
    <b:Year>2015</b:Year>
    <b:Pages>1-17</b:Pages>
    <b:SourceType>JournalArticle</b:SourceType>
    <b:Title>Panoramic, Macro and Micro Multispectral Imaging: An Affordable System for Mapping Pigments on Artworks</b:Title>
    <b:StandardNumber>http://dx.doi.org/10.5334/jcms.1021224</b:StandardNumber>
    <b:JournalName>Journal of Conservation and Museum Studies</b:JournalName>
    <b:Gdcea>{"AccessedType":"Website"}</b:Gdcea>
    <b:Author>
      <b:Author>
        <b:NameList>
          <b:Person>
            <b:First>Antonino</b:First>
            <b:Last>Cosentino</b:Last>
          </b:Person>
        </b:NameList>
      </b:Author>
    </b:Author>
  </b:Source>
  <b:Source>
    <b:Tag>source4</b:Tag>
    <b:Issue>30</b:Issue>
    <b:Volume>5</b:Volume>
    <b:Year>2017</b:Year>
    <b:Pages>1-9</b:Pages>
    <b:SourceType>JournalArticle</b:SourceType>
    <b:Title>Change is permanent: thoughts on the fading of cochineal-based watercolor pigments</b:Title>
    <b:StandardNumber>https://doi.org/10.1186/s40494-017-0143-4</b:StandardNumber>
    <b:JournalName>Heritage Science</b:JournalName>
    <b:Gdcea>{"AccessedType":"Website"}</b:Gdcea>
    <b:Author>
      <b:Author>
        <b:NameList>
          <b:Person>
            <b:First>B.H</b:First>
            <b:Last>Berrie</b:Last>
          </b:Person>
          <b:Person>
            <b:First>Yoonjoo</b:First>
            <b:Last>Strumfels</b:Last>
          </b:Person>
        </b:NameList>
      </b:Author>
    </b:Author>
  </b:Source>
  <b:Source>
    <b:Tag>source5</b:Tag>
    <b:Volume>97</b:Volume>
    <b:Year>2015</b:Year>
    <b:Pages>51-59</b:Pages>
    <b:SourceType>JournalArticle</b:SourceType>
    <b:Title>Fungal contamination of textile objects preserved in Slovene museums and religious institutions</b:Title>
    <b:StandardNumber>https://doi.org/10.1016/j.ibiod.2014.09.020</b:StandardNumber>
    <b:JournalName>International Biodeterioration &amp; Biodegradation</b:JournalName>
    <b:Gdcea>{"AccessedType":"Website"}</b:Gdcea>
    <b:Author>
      <b:Author>
        <b:NameList>
          <b:Person>
            <b:First>Katja</b:First>
            <b:Last>Kavkler</b:Last>
          </b:Person>
          <b:Person>
            <b:First>Nina</b:First>
            <b:Last>Gunde-Cimerman</b:Last>
          </b:Person>
          <b:Person>
            <b:First>Polona</b:First>
            <b:Last>Zalar</b:Last>
          </b:Person>
          <b:Person>
            <b:First>Andrej</b:First>
            <b:Last>Demšar</b:Last>
          </b:Person>
        </b:NameList>
      </b:Author>
    </b:Author>
  </b:Source>
  <b:Source>
    <b:Tag>source6</b:Tag>
    <b:Issue>5</b:Issue>
    <b:Volume>22</b:Volume>
    <b:Year>2005</b:Year>
    <b:Pages>141-144</b:Pages>
    <b:SourceType>JournalArticle</b:SourceType>
    <b:Title>Image processing for the analysis and conservation of paintings: opportunities and challenges</b:Title>
    <b:StandardNumber>https://doi.org/10.1109/MSP.2005.1511835</b:StandardNumber>
    <b:JournalName>IEEE Signal Processing Magazine</b:JournalName>
    <b:Gdcea>{"AccessedType":"Website"}</b:Gdcea>
    <b:Author>
      <b:Author>
        <b:NameList>
          <b:Person>
            <b:First>M</b:First>
            <b:Last>Barni</b:Last>
          </b:Person>
          <b:Person>
            <b:First>A</b:First>
            <b:Last>Pelagotti</b:Last>
          </b:Person>
          <b:Person>
            <b:First>A</b:First>
            <b:Last>Piva</b:Last>
          </b:Person>
        </b:NameList>
      </b:Author>
    </b:Author>
  </b:Source>
  <b:Source>
    <b:Tag>source7</b:Tag>
    <b:Issue>125</b:Issue>
    <b:Volume>8</b:Volume>
    <b:Year>2020</b:Year>
    <b:Pages>1-10</b:Pages>
    <b:SourceType>JournalArticle</b:SourceType>
    <b:Title>Discovery of Vespasiano Bignami paintings at the National Theatre of Costa Rica through technical photography and UV–Vis spectroscopy</b:Title>
    <b:StandardNumber>https://doi.org/10.1186/s40494-020-00470-4</b:StandardNumber>
    <b:JournalName>Herit Sci</b:JournalName>
    <b:Gdcea>{"AccessedType":"Website"}</b:Gdcea>
    <b:Author>
      <b:Author>
        <b:NameList>
          <b:Person>
            <b:First>Geraldine</b:First>
            <b:Last>Conejo-Barboza</b:Last>
          </b:Person>
          <b:Person>
            <b:First>Eduardo</b:First>
            <b:Last>Libby</b:Last>
          </b:Person>
          <b:Person>
            <b:First>Carmen</b:First>
            <b:Last>Marín</b:Last>
          </b:Person>
          <b:Person>
            <b:First>O.A</b:First>
            <b:Last>Herrera-Sancho</b:Last>
          </b:Person>
        </b:NameList>
      </b:Author>
    </b:Author>
  </b:Source>
  <b:Source>
    <b:Tag>source8</b:Tag>
    <b:Volume>31</b:Volume>
    <b:Year>2020</b:Year>
    <b:Pages>431-442</b:Pages>
    <b:SourceType>JournalArticle</b:SourceType>
    <b:Title>The role of restoration and scientific examination for the accurate attribution of a European painting in South America</b:Title>
    <b:StandardNumber>https://doi.org/10.1007/s12210-020-00904-y</b:StandardNumber>
    <b:JournalName>Rend. Fis. Acc. Lincei</b:JournalName>
    <b:Gdcea>{"AccessedType":"Website"}</b:Gdcea>
    <b:Author>
      <b:Author>
        <b:NameList>
          <b:Person>
            <b:First>Mariana</b:First>
            <b:Last>Calderón Mejía</b:Last>
          </b:Person>
          <b:Person>
            <b:First>Marcos</b:First>
            <b:Last>Tascon</b:Last>
          </b:Person>
          <b:Person>
            <b:First>Damasia</b:First>
            <b:Last>Gallejos</b:Last>
          </b:Person>
          <b:Person>
            <b:First>Dolores</b:First>
            <b:Last>Gónzalez Pondal</b:Last>
          </b:Person>
          <b:Person>
            <b:First>Mariana</b:First>
            <b:Last>Bini</b:Last>
          </b:Person>
          <b:Person>
            <b:First>Lucia</b:First>
            <b:Last>Liccioli</b:Last>
          </b:Person>
          <b:Person>
            <b:First>Serena</b:First>
            <b:Last>Barone</b:Last>
          </b:Person>
          <b:Person>
            <b:First>Lorenzo</b:First>
            <b:Last>Giuntini</b:Last>
          </b:Person>
          <b:Person>
            <b:First>Marielena</b:First>
            <b:Last>Fedi</b:Last>
          </b:Person>
          <b:Person>
            <b:First>Francesco</b:First>
            <b:Last>Taccetti</b:Last>
          </b:Person>
          <b:Person>
            <b:First>Fernando</b:First>
            <b:Last>Marte</b:Last>
          </b:Person>
        </b:NameList>
      </b:Author>
    </b:Author>
  </b:Source>
  <b:Source>
    <b:Tag>source9</b:Tag>
    <b:Volume>121</b:Volume>
    <b:Year>2015</b:Year>
    <b:Pages>999-1014</b:Pages>
    <b:SourceType>JournalArticle</b:SourceType>
    <b:Title>A holistic multimodal approach to the non-invasive analysis of watercolour paintings</b:Title>
    <b:StandardNumber>https://doi.org/10.1007/s00339-015-9425-4</b:StandardNumber>
    <b:JournalName>Appl. Phys. A</b:JournalName>
    <b:Gdcea>{"AccessedType":"Website"}</b:Gdcea>
    <b:Author>
      <b:Author>
        <b:NameList>
          <b:Person>
            <b:First>Sotiria</b:First>
            <b:Last>Kogou</b:Last>
          </b:Person>
          <b:Person>
            <b:First>Andrei</b:First>
            <b:Last>Lucian</b:Last>
          </b:Person>
          <b:Person>
            <b:First>Sonia</b:First>
            <b:Last>Bellesia</b:Last>
          </b:Person>
          <b:Person>
            <b:First>Lucia</b:First>
            <b:Last>Burgio</b:Last>
          </b:Person>
          <b:Person>
            <b:First>Kate</b:First>
            <b:Last>Bailey</b:Last>
          </b:Person>
          <b:Person>
            <b:First>Charlotte</b:First>
            <b:Last>Brooks</b:Last>
          </b:Person>
          <b:Person>
            <b:First>Haida</b:First>
            <b:Last>Liang</b:Last>
          </b:Person>
        </b:NameList>
      </b:Author>
    </b:Author>
  </b:Source>
  <b:Source>
    <b:Tag>source10</b:Tag>
    <b:Issue>10</b:Issue>
    <b:Volume>8</b:Volume>
    <b:Year>2020</b:Year>
    <b:SourceType>JournalArticle</b:SourceType>
    <b:Title>Learning from the past, intervening in the present: the role of conservation science in the challenging restoration of the wall painting Marriage at Cana by Luca Longhi (Ravenna, Italy)</b:Title>
    <b:StandardNumber>https://doi.org/10.1186/s40494-020-0354-y</b:StandardNumber>
    <b:JournalName>Herit Sci</b:JournalName>
    <b:Gdcea>{"AccessedType":"Website"}</b:Gdcea>
    <b:Author>
      <b:Author>
        <b:NameList>
          <b:Person>
            <b:First>Flavia</b:First>
            <b:Last>Fiorillo</b:Last>
          </b:Person>
          <b:Person>
            <b:First>Sara</b:First>
            <b:Last>Fiorentino</b:Last>
          </b:Person>
          <b:Person>
            <b:First>Matteo</b:First>
            <b:Last>Montanari</b:Last>
          </b:Person>
          <b:Person>
            <b:First>Camilla</b:First>
            <b:Last>Roversi Monaco</b:Last>
          </b:Person>
          <b:Person>
            <b:First>Andrea</b:First>
            <b:Last>Del Bianco</b:Last>
          </b:Person>
          <b:Person>
            <b:First>Mariangela</b:First>
            <b:Last>Vandini</b:Last>
          </b:Person>
        </b:NameList>
      </b:Author>
    </b:Author>
  </b:Source>
  <b:Source>
    <b:Tag>source11</b:Tag>
    <b:Volume>106</b:Volume>
    <b:Year>2012</b:Year>
    <b:Pages>309-323</b:Pages>
    <b:SourceType>JournalArticle</b:SourceType>
    <b:Title>Advances in multispectral and hyperspectral imaging for archaeology and art conservation</b:Title>
    <b:StandardNumber>https://doi.org/10.1007/s00339-011-6689-1</b:StandardNumber>
    <b:JournalName>Appl. Phys. A</b:JournalName>
    <b:Gdcea>{"AccessedType":"Website"}</b:Gdcea>
    <b:Author>
      <b:Author>
        <b:NameList>
          <b:Person>
            <b:First>Haida</b:First>
            <b:Last>Liang</b:Last>
          </b:Person>
        </b:NameList>
      </b:Author>
    </b:Author>
  </b:Source>
  <b:Source>
    <b:Tag>source12</b:Tag>
    <b:Volume>21</b:Volume>
    <b:Year>2015</b:Year>
    <b:Pages>53-62</b:Pages>
    <b:SourceType>JournalArticle</b:SourceType>
    <b:Title>Practical notes on ultraviolet technical photography for art examination</b:Title>
    <b:StandardNumber>https://doi.org/10.14568/cp2015006</b:StandardNumber>
    <b:JournalName>Conservar Património</b:JournalName>
    <b:Gdcea>{"AccessedType":"Website"}</b:Gdcea>
    <b:Author>
      <b:Author>
        <b:NameList>
          <b:Person>
            <b:First>Antonio</b:First>
            <b:Last>Cosentino</b:Last>
          </b:Person>
        </b:NameList>
      </b:Author>
    </b:Author>
  </b:Source>
  <b:Source>
    <b:Tag>source13</b:Tag>
    <b:Issue>1</b:Issue>
    <b:Volume>17</b:Volume>
    <b:Year>2019</b:Year>
    <b:Pages>1-10</b:Pages>
    <b:SourceType>JournalArticle</b:SourceType>
    <b:Title>A Brief Insight Into the Secrets of the 120-Year-Old Main Curtain of the National Theatre of Costa Rica Through Non-Destructive Characterization Techniques</b:Title>
    <b:StandardNumber>https://doi.org/10.5334/jcms.172</b:StandardNumber>
    <b:JournalName>Journal of Conservation and Museum Studies,</b:JournalName>
    <b:Gdcea>{"AccessedType":"Website"}</b:Gdcea>
    <b:Author>
      <b:Author>
        <b:NameList>
          <b:Person>
            <b:First>Juan G</b:First>
            <b:Last>Morice</b:Last>
          </b:Person>
          <b:Person>
            <b:First>Juliana</b:First>
            <b:Last>Benavides-Rodríguez</b:Last>
          </b:Person>
          <b:Person>
            <b:First>Geraldine</b:First>
            <b:Last>Conejo-Barboza</b:Last>
          </b:Person>
          <b:Person>
            <b:First>Carmen</b:First>
            <b:Last>Marín</b:Last>
          </b:Person>
          <b:Person>
            <b:First>Mavis L</b:First>
            <b:Last>Montero</b:Last>
          </b:Person>
          <b:Person>
            <b:First>O.A</b:First>
            <b:Last>Herrera-Sancho</b:Last>
          </b:Person>
        </b:NameList>
      </b:Author>
    </b:Author>
  </b:Source>
  <b:Source>
    <b:Tag>source14</b:Tag>
    <b:Year>2021</b:Year>
    <b:SourceType>JournalArticle</b:SourceType>
    <b:Title>Biodeterioration and cellulolytic activity by fungi isolated from a nineteenth-century painting at the National Theatre of Costa Rica</b:Title>
    <b:StandardNumber>https://doi.org/10.1016/j.funbio.2021.11.001</b:StandardNumber>
    <b:JournalName>Fungal Biology</b:JournalName>
    <b:Gdcea>{"AccessedType":"Website"}</b:Gdcea>
    <b:Author>
      <b:Author>
        <b:NameList>
          <b:Person>
            <b:First>Sofía</b:First>
            <b:Last>Vieto</b:Last>
          </b:Person>
          <b:Person>
            <b:First>Efraín</b:First>
            <b:Last>Escudero-Leyva</b:Last>
          </b:Person>
          <b:Person>
            <b:First>Roberto</b:First>
            <b:Last>Avendaño</b:Last>
          </b:Person>
          <b:Person>
            <b:First>Noelia</b:First>
            <b:Last>Rechnitzer</b:Last>
          </b:Person>
          <b:Person>
            <b:First>Melissa</b:First>
            <b:Middle>D</b:Middle>
            <b:Last>Barrantes-Madrigal</b:Last>
          </b:Person>
          <b:Person>
            <b:First>Geraldine</b:First>
            <b:Last>Conejo-Barboza</b:Last>
          </b:Person>
          <b:Person>
            <b:First>Oscar</b:First>
            <b:Middle>A</b:Middle>
            <b:Last>Herrera-Sancho</b:Last>
          </b:Person>
          <b:Person>
            <b:First>Priscila</b:First>
            <b:Last>Chaverri</b:Last>
          </b:Person>
          <b:Person>
            <b:First>Max</b:First>
            <b:Last>Chavarría</b:Last>
          </b:Person>
        </b:NameList>
      </b:Author>
    </b:Author>
  </b:Source>
  <b:Source>
    <b:Tag>source15</b:Tag>
    <b:Volume>24</b:Volume>
    <b:Year>2010</b:Year>
    <b:Pages>47-55</b:Pages>
    <b:SourceType>JournalArticle</b:SourceType>
    <b:Title>Fungi: Their role in deterioration of cultural heritage</b:Title>
    <b:StandardNumber>https://doi:10.1016/j.fbr.2010.03.003</b:StandardNumber>
    <b:JournalName>Fungal Biology Reviews</b:JournalName>
    <b:Gdcea>{"AccessedType":"Website"}</b:Gdcea>
    <b:Author>
      <b:Author>
        <b:NameList>
          <b:Person>
            <b:First>Katja</b:First>
            <b:Last>Sterflinger</b:Last>
          </b:Person>
        </b:NameList>
      </b:Author>
    </b:Author>
  </b:Source>
  <b:Source>
    <b:Tag>source16</b:Tag>
    <b:Issue>4</b:Issue>
    <b:Volume>15</b:Volume>
    <b:Year>2020</b:Year>
    <b:SourceType>JournalArticle</b:SourceType>
    <b:Title>Detection of potential biodeterioration risks for tempera painting in 16th century exhibits from State Tretyakov Gallery</b:Title>
    <b:StandardNumber>https://doi.org/10.1371/journal.pone.0230591</b:StandardNumber>
    <b:JournalName>Plos One</b:JournalName>
    <b:Gdcea>{"AccessedType":"Website"}</b:Gdcea>
    <b:Author>
      <b:Author>
        <b:NameList>
          <b:Person>
            <b:First>Alexander</b:First>
            <b:Last>Zhgun</b:Last>
          </b:Person>
          <b:Person>
            <b:First>Darya</b:First>
            <b:Last>Avdanina</b:Last>
          </b:Person>
          <b:Person>
            <b:First>Kirill</b:First>
            <b:Last>Shumikhin</b:Last>
          </b:Person>
          <b:Person>
            <b:First>Nikolay</b:First>
            <b:Last>Simonenko</b:Last>
          </b:Person>
          <b:Person>
            <b:First>Elena</b:First>
            <b:Last>Lyubavskaya</b:Last>
          </b:Person>
          <b:Person>
            <b:First>Ivan</b:First>
            <b:Last>Volkov</b:Last>
          </b:Person>
          <b:Person>
            <b:First>Victor</b:First>
            <b:Last>Ivanov</b:Last>
          </b:Person>
        </b:NameList>
      </b:Author>
    </b:Author>
  </b:Source>
  <b:Source>
    <b:Tag>source17</b:Tag>
    <b:Issue>49</b:Issue>
    <b:Volume>101</b:Volume>
    <b:Year>2004</b:Year>
    <b:Pages>17006-17010</b:Pages>
    <b:SourceType>JournalArticle</b:SourceType>
    <b:Title>A digital technique for art authentication</b:Title>
    <b:StandardNumber>https://doi.org/10.1073/pnas.0406398101</b:StandardNumber>
    <b:JournalName>PNAS</b:JournalName>
    <b:Gdcea>{"AccessedType":"Website"}</b:Gdcea>
    <b:Author>
      <b:Author>
        <b:NameList>
          <b:Person>
            <b:First>Siwei</b:First>
            <b:Last>Lyu</b:Last>
          </b:Person>
          <b:Person>
            <b:First>Daniel</b:First>
            <b:Last>Rockmore</b:Last>
          </b:Person>
          <b:Person>
            <b:First>Hany</b:First>
            <b:Last>Farid</b:Last>
          </b:Person>
        </b:NameList>
      </b:Author>
    </b:Author>
  </b:Source>
  <b:Source>
    <b:Tag>source18</b:Tag>
    <b:Volume>550</b:Volume>
    <b:Year>2005</b:Year>
    <b:Pages>164-172</b:Pages>
    <b:SourceType>JournalArticle</b:SourceType>
    <b:Title>Spectroscopic investigation of a "Virgin of Sorrows" canvas painting: A multi-method approach</b:Title>
    <b:StandardNumber>https://doi:10.1016/j.aca.2005.06.059</b:StandardNumber>
    <b:JournalName>Analytica Chimica Acta</b:JournalName>
    <b:Gdcea>{"AccessedType":"Website"}</b:Gdcea>
    <b:Author>
      <b:Author>
        <b:NameList>
          <b:Person>
            <b:First>M</b:First>
            <b:Last>Ortega-Avilés</b:Last>
          </b:Person>
          <b:Person>
            <b:First>P</b:First>
            <b:Last>Vandenabeele</b:Last>
          </b:Person>
          <b:Person>
            <b:First>D</b:First>
            <b:Last>Tenorio</b:Last>
          </b:Person>
          <b:Person>
            <b:First>G</b:First>
            <b:Last>Murillo</b:Last>
          </b:Person>
          <b:Person>
            <b:First>M</b:First>
            <b:Last>Jiménez-Reyes</b:Last>
          </b:Person>
          <b:Person>
            <b:First>N</b:First>
            <b:Last>Gutiérrez</b:Last>
          </b:Person>
        </b:NameList>
      </b:Author>
    </b:Author>
  </b:Source>
  <b:Source>
    <b:Tag>source19</b:Tag>
    <b:Volume>137</b:Volume>
    <b:Year>2018</b:Year>
    <b:Pages>139-147</b:Pages>
    <b:SourceType>JournalArticle</b:SourceType>
    <b:Title>Macro X-ray fluorescence scanning (MA-XRF) as tool in the authentication of paintings</b:Title>
    <b:StandardNumber>https://doi.org/10.1016/j.microc.2017.10.008</b:StandardNumber>
    <b:JournalName>Microchemical Journal</b:JournalName>
    <b:Gdcea>{"AccessedType":"Website"}</b:Gdcea>
    <b:Author>
      <b:Author>
        <b:NameList>
          <b:Person>
            <b:First>Steven</b:First>
            <b:Last>Saverwyns</b:Last>
          </b:Person>
          <b:Person>
            <b:First>Christina</b:First>
            <b:Last>Currie</b:Last>
          </b:Person>
          <b:Person>
            <b:First>Eduardo</b:First>
            <b:Last>Lamas-Delgado</b:Last>
          </b:Person>
        </b:NameList>
      </b:Author>
    </b:Author>
  </b:Source>
  <b:Source>
    <b:Tag>source20</b:Tag>
    <b:Volume>26</b:Volume>
    <b:Year>2021</b:Year>
    <b:SourceType>JournalArticle</b:SourceType>
    <b:Title>Recognition of fake paintings of the 20th-century Russian avant-garde using the physicochemical analysis of zinc white</b:Title>
    <b:StandardNumber>https://doi.org/10.1016/j.forc.2021.100367</b:StandardNumber>
    <b:JournalName>Forensic Chemistry</b:JournalName>
    <b:Gdcea>{"AccessedType":"Website"}</b:Gdcea>
    <b:Author>
      <b:Author>
        <b:NameList>
          <b:Person>
            <b:First>Sergey</b:First>
            <b:Last>Sirro</b:Last>
          </b:Person>
          <b:Person>
            <b:First>Ksenia</b:First>
            <b:Last>Ershova</b:Last>
          </b:Person>
          <b:Person>
            <b:First>Vladimir</b:First>
            <b:Last>Kochemirovsky</b:Last>
          </b:Person>
          <b:Person>
            <b:First>Julia</b:First>
            <b:Last>Fiks</b:Last>
          </b:Person>
          <b:Person>
            <b:First>Polina</b:First>
            <b:Last>Kondrakhina</b:Last>
          </b:Person>
          <b:Person>
            <b:First>Sergey</b:First>
            <b:Last>Ermakov</b:Last>
          </b:Person>
          <b:Person>
            <b:First>Dmitry</b:First>
            <b:Last>Mokhorov</b:Last>
          </b:Person>
          <b:Person>
            <b:First>Svetlana</b:First>
            <b:Last>Kochemirovskaia</b:Last>
          </b:Person>
        </b:NameList>
      </b:Author>
    </b:Author>
  </b:Source>
  <b:Source>
    <b:Tag>source21</b:Tag>
    <b:Year>2014</b:Year>
    <b:Pages>404-428</b:Pages>
    <b:SourceType>BookSection</b:SourceType>
    <b:Title>A Vibrant Surface: Investigating Color, Texture and Transparency in Winslow Homer’s Watercolors</b:Title>
    <b:StandardNumber>https://doi.org/10.1039/9781839161957-00404</b:StandardNumber>
    <b:BookTitle>Science and Art: The Painted Surface</b:BookTitle>
    <b:Publisher>Royal Society of Chemistry</b:Publisher>
    <b:Gdcea>{"AccessedType":"Website"}</b:Gdcea>
    <b:Author>
      <b:Author>
        <b:NameList>
          <b:Person>
            <b:First>B</b:First>
            <b:Last>Berrie</b:Last>
          </b:Person>
          <b:Person>
            <b:First>F</b:First>
            <b:Last>Casadio</b:Last>
          </b:Person>
          <b:Person>
            <b:First>K</b:First>
            <b:Last>Dahm</b:Last>
          </b:Person>
          <b:Person>
            <b:First>Y</b:First>
            <b:Last>Strumfels</b:Last>
          </b:Person>
          <b:Person>
            <b:First>M</b:First>
            <b:Last>Tedeschi</b:Last>
          </b:Person>
          <b:Person>
            <b:First>J</b:First>
            <b:Last>Walsh</b:Last>
          </b:Person>
        </b:NameList>
      </b:Author>
    </b:Author>
  </b:Source>
  <b:Source>
    <b:Tag>source22</b:Tag>
    <b:Volume>44</b:Volume>
    <b:Year>2020</b:Year>
    <b:Pages>239-259</b:Pages>
    <b:SourceType>JournalArticle</b:SourceType>
    <b:Title>The application of state-of-the-art technologies to support artwork conservation: Literature review</b:Title>
    <b:StandardNumber>https://doi.org/10.1016/j.culher.2020.02.010</b:StandardNumber>
    <b:JournalName>Journal of Cultural Heritage</b:JournalName>
    <b:Gdcea>{"AccessedType":"Website"}</b:Gdcea>
    <b:Author>
      <b:Author>
        <b:NameList>
          <b:Person>
            <b:First>Braeden</b:First>
            <b:Last>Borg</b:Last>
          </b:Person>
          <b:Person>
            <b:First>Michelle</b:First>
            <b:Last>Dunn</b:Last>
          </b:Person>
          <b:Person>
            <b:First>Andrew</b:First>
            <b:Last>Ang</b:Last>
          </b:Person>
          <b:Person>
            <b:First>Carl</b:First>
            <b:Last>Villis</b:Last>
          </b:Person>
        </b:NameList>
      </b:Author>
    </b:Author>
  </b:Source>
  <b:Source>
    <b:Tag>source23</b:Tag>
    <b:Volume>49</b:Volume>
    <b:Year>2021</b:Year>
    <b:Pages>272-288</b:Pages>
    <b:SourceType>JournalArticle</b:SourceType>
    <b:Title>Survey and literature study to provide insights on the application of 3D technologies in objects conservation and restoration</b:Title>
    <b:StandardNumber>https://doi.org/10.1016/j.culher.2020.12.003</b:StandardNumber>
    <b:JournalName>Journal of Cultural Heritage</b:JournalName>
    <b:Gdcea>{"AccessedType":"Website"}</b:Gdcea>
    <b:Author>
      <b:Author>
        <b:NameList>
          <b:Person>
            <b:First>Lien</b:First>
            <b:Last>Acke</b:Last>
          </b:Person>
          <b:Person>
            <b:First>Kristel</b:First>
            <b:Last>De Vis</b:Last>
          </b:Person>
          <b:Person>
            <b:First>Stijin</b:First>
            <b:Last>Verwulgen</b:Last>
          </b:Person>
          <b:Person>
            <b:First>Jouke</b:First>
            <b:Last>Verlinden</b:Last>
          </b:Person>
        </b:NameList>
      </b:Author>
    </b:Author>
  </b:Source>
  <b:Source>
    <b:Tag>source24</b:Tag>
    <b:Volume>11</b:Volume>
    <b:Year>2010</b:Year>
    <b:Pages>519-526</b:Pages>
    <b:SourceType>JournalArticle</b:SourceType>
    <b:Title>Innovative non-invasive analysis techniques for cultural heritage using terahertz technology</b:Title>
    <b:StandardNumber>https://doi:10.1016/j.crhy.2010.05.004</b:StandardNumber>
    <b:JournalName>C.R Physique</b:JournalName>
    <b:Gdcea>{"AccessedType":"Website"}</b:Gdcea>
    <b:Author>
      <b:Author>
        <b:NameList>
          <b:Person>
            <b:First>Kaori</b:First>
            <b:Last>Fukunaga</b:Last>
          </b:Person>
          <b:Person>
            <b:First>I</b:First>
            <b:Last>Hosako</b:Last>
          </b:Person>
        </b:NameList>
      </b:Author>
    </b:Author>
  </b:Source>
  <b:Source>
    <b:Tag>source25</b:Tag>
    <b:Year>2012</b:Year>
    <b:SourceType>Book</b:SourceType>
    <b:Title>Museum Basics</b:Title>
    <b:Publisher>Routledge</b:Publisher>
    <b:Gdcea>{"AccessedType":"Website"}</b:Gdcea>
    <b:Author>
      <b:Author>
        <b:NameList>
          <b:Person>
            <b:First>Crispin</b:First>
            <b:Last>Paine</b:Last>
          </b:Person>
          <b:Person>
            <b:First>Timothy</b:First>
            <b:Last>Ambrose</b:Last>
          </b:Person>
        </b:NameList>
      </b:Author>
    </b:Author>
  </b:Source>
</b:Sources>
</file>

<file path=customXml/itemProps1.xml><?xml version="1.0" encoding="utf-8"?>
<ds:datastoreItem xmlns:ds="http://schemas.openxmlformats.org/officeDocument/2006/customXml" ds:itemID="{268BF7A2-B747-4514-A3BB-69D537854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2061</TotalTime>
  <Pages>33</Pages>
  <Words>13471</Words>
  <Characters>74096</Characters>
  <Application>Microsoft Office Word</Application>
  <DocSecurity>0</DocSecurity>
  <Lines>617</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87393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Óscar Andrey Herrera</dc:creator>
  <cp:lastModifiedBy>HP</cp:lastModifiedBy>
  <cp:revision>85</cp:revision>
  <cp:lastPrinted>2023-01-25T21:16:00Z</cp:lastPrinted>
  <dcterms:created xsi:type="dcterms:W3CDTF">2022-09-24T13:50:00Z</dcterms:created>
  <dcterms:modified xsi:type="dcterms:W3CDTF">2023-01-25T21:50:00Z</dcterms:modified>
</cp:coreProperties>
</file>