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5595" w:rsidRPr="001A4DC9" w:rsidRDefault="00E23EFF" w:rsidP="00BD2D05">
      <w:pPr>
        <w:spacing w:before="4" w:after="240" w:line="360" w:lineRule="auto"/>
        <w:jc w:val="center"/>
        <w:rPr>
          <w:rFonts w:ascii="Arial" w:hAnsi="Arial" w:cs="Arial"/>
          <w:b/>
          <w:bCs/>
          <w:sz w:val="28"/>
          <w:szCs w:val="28"/>
          <w:lang w:val="es-ES"/>
        </w:rPr>
      </w:pPr>
      <w:r w:rsidRPr="001A4DC9">
        <w:rPr>
          <w:rFonts w:ascii="Arial" w:hAnsi="Arial" w:cs="Arial"/>
          <w:b/>
          <w:bCs/>
          <w:sz w:val="28"/>
          <w:szCs w:val="28"/>
          <w:lang w:val="es-ES"/>
        </w:rPr>
        <w:t>LA INDEPENDENCIA JUDICIAL EN LA JURISPRUDENCIA DE LA CORTE IN</w:t>
      </w:r>
      <w:r w:rsidR="00E10C89" w:rsidRPr="001A4DC9">
        <w:rPr>
          <w:rFonts w:ascii="Arial" w:hAnsi="Arial" w:cs="Arial"/>
          <w:b/>
          <w:bCs/>
          <w:sz w:val="28"/>
          <w:szCs w:val="28"/>
          <w:lang w:val="es-ES"/>
        </w:rPr>
        <w:t>TERAMERICANA DE DERECHOS HUMANOS</w:t>
      </w:r>
    </w:p>
    <w:p w:rsidR="005D5595" w:rsidRPr="001A4DC9" w:rsidRDefault="00E10C89" w:rsidP="00BD2D05">
      <w:pPr>
        <w:spacing w:before="4" w:after="240" w:line="360" w:lineRule="auto"/>
        <w:jc w:val="right"/>
        <w:rPr>
          <w:rFonts w:ascii="Arial" w:hAnsi="Arial" w:cs="Arial"/>
          <w:b/>
          <w:bCs/>
          <w:sz w:val="28"/>
          <w:szCs w:val="28"/>
          <w:lang w:val="es-ES"/>
        </w:rPr>
      </w:pPr>
      <w:r w:rsidRPr="001A4DC9">
        <w:rPr>
          <w:rFonts w:ascii="Arial" w:hAnsi="Arial" w:cs="Arial"/>
          <w:i/>
          <w:sz w:val="24"/>
          <w:szCs w:val="24"/>
          <w:lang w:val="es-ES"/>
        </w:rPr>
        <w:t>Fernando Cruz Castro</w:t>
      </w:r>
      <w:r w:rsidRPr="001A4DC9">
        <w:rPr>
          <w:rStyle w:val="FootnoteReference"/>
          <w:rFonts w:ascii="Arial" w:hAnsi="Arial" w:cs="Arial"/>
          <w:i/>
          <w:sz w:val="24"/>
          <w:szCs w:val="24"/>
          <w:lang w:val="es-ES"/>
        </w:rPr>
        <w:footnoteReference w:id="1"/>
      </w:r>
    </w:p>
    <w:p w:rsidR="00BD2D05" w:rsidRPr="001A4DC9" w:rsidRDefault="00BD2D05" w:rsidP="00E10C89">
      <w:pPr>
        <w:spacing w:before="4" w:after="240" w:line="360" w:lineRule="auto"/>
        <w:jc w:val="both"/>
        <w:rPr>
          <w:rFonts w:ascii="Arial" w:hAnsi="Arial" w:cs="Arial"/>
          <w:b/>
          <w:bCs/>
          <w:iCs/>
          <w:sz w:val="24"/>
          <w:szCs w:val="24"/>
          <w:lang w:val="es-ES"/>
        </w:rPr>
      </w:pPr>
    </w:p>
    <w:p w:rsidR="00A55090" w:rsidRPr="001A4DC9" w:rsidRDefault="00A55090" w:rsidP="00E10C89">
      <w:pPr>
        <w:spacing w:before="4" w:after="240" w:line="360" w:lineRule="auto"/>
        <w:jc w:val="both"/>
        <w:rPr>
          <w:rFonts w:ascii="Arial" w:hAnsi="Arial" w:cs="Arial"/>
          <w:bCs/>
          <w:iCs/>
          <w:sz w:val="24"/>
          <w:szCs w:val="24"/>
          <w:lang w:val="es-ES"/>
        </w:rPr>
      </w:pPr>
      <w:r w:rsidRPr="001A4DC9">
        <w:rPr>
          <w:rFonts w:ascii="Arial" w:hAnsi="Arial" w:cs="Arial"/>
          <w:b/>
          <w:bCs/>
          <w:iCs/>
          <w:sz w:val="24"/>
          <w:szCs w:val="24"/>
          <w:lang w:val="es-ES"/>
        </w:rPr>
        <w:t>RESUMEN:</w:t>
      </w:r>
      <w:r w:rsidR="00A40089" w:rsidRPr="001A4DC9">
        <w:rPr>
          <w:rFonts w:ascii="Arial" w:hAnsi="Arial" w:cs="Arial"/>
          <w:b/>
          <w:bCs/>
          <w:iCs/>
          <w:sz w:val="24"/>
          <w:szCs w:val="24"/>
          <w:lang w:val="es-ES"/>
        </w:rPr>
        <w:t xml:space="preserve"> </w:t>
      </w:r>
      <w:r w:rsidR="00A40089" w:rsidRPr="001A4DC9">
        <w:rPr>
          <w:rFonts w:ascii="Arial" w:hAnsi="Arial" w:cs="Arial"/>
          <w:bCs/>
          <w:iCs/>
          <w:sz w:val="24"/>
          <w:szCs w:val="24"/>
          <w:lang w:val="es-ES"/>
        </w:rPr>
        <w:t xml:space="preserve">Este artículo examina la independencia judicial como derecho fundamental, desde la perspectiva de sentencias paradigmáticas emitidas por la Corte Interamericana de Derechos Humanos. </w:t>
      </w:r>
      <w:r w:rsidR="002C0640" w:rsidRPr="001A4DC9">
        <w:rPr>
          <w:rFonts w:ascii="Arial" w:hAnsi="Arial" w:cs="Arial"/>
          <w:bCs/>
          <w:iCs/>
          <w:sz w:val="24"/>
          <w:szCs w:val="24"/>
          <w:lang w:val="es-ES"/>
        </w:rPr>
        <w:t xml:space="preserve">A su vez, se reflexiona sobre la relevancia del resguardo de la independencia judicial para el fortalecimiento del Estado de Derecho y el fortalecimiento del régimen político democrático en América Latina. </w:t>
      </w:r>
    </w:p>
    <w:p w:rsidR="00A55090" w:rsidRPr="001A4DC9" w:rsidRDefault="00A55090" w:rsidP="00E10C89">
      <w:pPr>
        <w:spacing w:before="4" w:after="240" w:line="360" w:lineRule="auto"/>
        <w:jc w:val="both"/>
        <w:rPr>
          <w:rFonts w:ascii="Arial" w:hAnsi="Arial" w:cs="Arial"/>
          <w:bCs/>
          <w:iCs/>
          <w:sz w:val="24"/>
          <w:szCs w:val="24"/>
          <w:lang w:val="es-ES"/>
        </w:rPr>
      </w:pPr>
      <w:r w:rsidRPr="001A4DC9">
        <w:rPr>
          <w:rFonts w:ascii="Arial" w:hAnsi="Arial" w:cs="Arial"/>
          <w:b/>
          <w:bCs/>
          <w:iCs/>
          <w:sz w:val="24"/>
          <w:szCs w:val="24"/>
          <w:lang w:val="es-ES"/>
        </w:rPr>
        <w:t>PALABRAS CLAVE:</w:t>
      </w:r>
      <w:r w:rsidR="002C0640" w:rsidRPr="001A4DC9">
        <w:rPr>
          <w:rFonts w:ascii="Arial" w:hAnsi="Arial" w:cs="Arial"/>
          <w:b/>
          <w:bCs/>
          <w:iCs/>
          <w:sz w:val="24"/>
          <w:szCs w:val="24"/>
          <w:lang w:val="es-ES"/>
        </w:rPr>
        <w:t xml:space="preserve"> </w:t>
      </w:r>
      <w:r w:rsidR="002C0640" w:rsidRPr="001A4DC9">
        <w:rPr>
          <w:rFonts w:ascii="Arial" w:hAnsi="Arial" w:cs="Arial"/>
          <w:bCs/>
          <w:iCs/>
          <w:sz w:val="24"/>
          <w:szCs w:val="24"/>
          <w:lang w:val="es-ES"/>
        </w:rPr>
        <w:t xml:space="preserve">Corte Interamericana de Derechos Humanos </w:t>
      </w:r>
      <w:r w:rsidR="006E05EB" w:rsidRPr="001A4DC9">
        <w:rPr>
          <w:rFonts w:ascii="Arial" w:hAnsi="Arial" w:cs="Arial"/>
          <w:bCs/>
          <w:iCs/>
          <w:sz w:val="24"/>
          <w:szCs w:val="24"/>
          <w:lang w:val="es-ES"/>
        </w:rPr>
        <w:t xml:space="preserve">/ </w:t>
      </w:r>
      <w:r w:rsidR="002C0640" w:rsidRPr="001A4DC9">
        <w:rPr>
          <w:rFonts w:ascii="Arial" w:hAnsi="Arial" w:cs="Arial"/>
          <w:bCs/>
          <w:iCs/>
          <w:sz w:val="24"/>
          <w:szCs w:val="24"/>
          <w:lang w:val="es-ES"/>
        </w:rPr>
        <w:t xml:space="preserve"> Derechos Humanos </w:t>
      </w:r>
      <w:r w:rsidR="006E05EB" w:rsidRPr="001A4DC9">
        <w:rPr>
          <w:rFonts w:ascii="Arial" w:hAnsi="Arial" w:cs="Arial"/>
          <w:bCs/>
          <w:iCs/>
          <w:sz w:val="24"/>
          <w:szCs w:val="24"/>
          <w:lang w:val="es-ES"/>
        </w:rPr>
        <w:t>/</w:t>
      </w:r>
      <w:r w:rsidR="002C0640" w:rsidRPr="001A4DC9">
        <w:rPr>
          <w:rFonts w:ascii="Arial" w:hAnsi="Arial" w:cs="Arial"/>
          <w:bCs/>
          <w:iCs/>
          <w:sz w:val="24"/>
          <w:szCs w:val="24"/>
          <w:lang w:val="es-ES"/>
        </w:rPr>
        <w:t xml:space="preserve"> Independencia Judicial </w:t>
      </w:r>
      <w:r w:rsidR="006E05EB" w:rsidRPr="001A4DC9">
        <w:rPr>
          <w:rFonts w:ascii="Arial" w:hAnsi="Arial" w:cs="Arial"/>
          <w:bCs/>
          <w:iCs/>
          <w:sz w:val="24"/>
          <w:szCs w:val="24"/>
          <w:lang w:val="es-ES"/>
        </w:rPr>
        <w:t>/</w:t>
      </w:r>
      <w:r w:rsidR="002C0640" w:rsidRPr="001A4DC9">
        <w:rPr>
          <w:rFonts w:ascii="Arial" w:hAnsi="Arial" w:cs="Arial"/>
          <w:bCs/>
          <w:iCs/>
          <w:sz w:val="24"/>
          <w:szCs w:val="24"/>
          <w:lang w:val="es-ES"/>
        </w:rPr>
        <w:t xml:space="preserve"> Estado de Derecho </w:t>
      </w:r>
      <w:r w:rsidR="006E05EB" w:rsidRPr="001A4DC9">
        <w:rPr>
          <w:rFonts w:ascii="Arial" w:hAnsi="Arial" w:cs="Arial"/>
          <w:bCs/>
          <w:iCs/>
          <w:sz w:val="24"/>
          <w:szCs w:val="24"/>
          <w:lang w:val="es-ES"/>
        </w:rPr>
        <w:t>/</w:t>
      </w:r>
      <w:r w:rsidR="002C0640" w:rsidRPr="001A4DC9">
        <w:rPr>
          <w:rFonts w:ascii="Arial" w:hAnsi="Arial" w:cs="Arial"/>
          <w:bCs/>
          <w:iCs/>
          <w:sz w:val="24"/>
          <w:szCs w:val="24"/>
          <w:lang w:val="es-ES"/>
        </w:rPr>
        <w:t xml:space="preserve"> Democracia </w:t>
      </w:r>
    </w:p>
    <w:p w:rsidR="00A55090" w:rsidRPr="00E10111" w:rsidRDefault="00A55090" w:rsidP="00E10C89">
      <w:pPr>
        <w:spacing w:before="4" w:after="240" w:line="360" w:lineRule="auto"/>
        <w:jc w:val="both"/>
        <w:rPr>
          <w:rFonts w:ascii="Arial" w:hAnsi="Arial" w:cs="Arial"/>
          <w:b/>
          <w:bCs/>
          <w:iCs/>
          <w:sz w:val="24"/>
          <w:szCs w:val="24"/>
          <w:lang w:val="en-US"/>
        </w:rPr>
      </w:pPr>
      <w:r w:rsidRPr="00E10111">
        <w:rPr>
          <w:rFonts w:ascii="Arial" w:hAnsi="Arial" w:cs="Arial"/>
          <w:b/>
          <w:bCs/>
          <w:iCs/>
          <w:sz w:val="24"/>
          <w:szCs w:val="24"/>
          <w:lang w:val="en-US"/>
        </w:rPr>
        <w:t>ABSTRACT:</w:t>
      </w:r>
      <w:r w:rsidR="002C0640" w:rsidRPr="00E10111">
        <w:rPr>
          <w:rFonts w:ascii="Arial" w:hAnsi="Arial" w:cs="Arial"/>
          <w:b/>
          <w:bCs/>
          <w:iCs/>
          <w:sz w:val="24"/>
          <w:szCs w:val="24"/>
          <w:lang w:val="en-US"/>
        </w:rPr>
        <w:t xml:space="preserve"> </w:t>
      </w:r>
      <w:r w:rsidR="002C0640" w:rsidRPr="00E10111">
        <w:rPr>
          <w:rFonts w:ascii="Arial" w:hAnsi="Arial" w:cs="Arial"/>
          <w:bCs/>
          <w:iCs/>
          <w:sz w:val="24"/>
          <w:szCs w:val="24"/>
          <w:lang w:val="en-US"/>
        </w:rPr>
        <w:t>This article examines judicial independence as a fundamental right, from the perspective of paradigmatic sentences issued by the Inter-American Court of Human Rights.</w:t>
      </w:r>
      <w:r w:rsidR="002C0640" w:rsidRPr="00E10111">
        <w:rPr>
          <w:lang w:val="en-US"/>
        </w:rPr>
        <w:t xml:space="preserve"> </w:t>
      </w:r>
      <w:r w:rsidR="002C0640" w:rsidRPr="00E10111">
        <w:rPr>
          <w:rFonts w:ascii="Arial" w:hAnsi="Arial" w:cs="Arial"/>
          <w:bCs/>
          <w:iCs/>
          <w:sz w:val="24"/>
          <w:szCs w:val="24"/>
          <w:lang w:val="en-US"/>
        </w:rPr>
        <w:t>At the same time, it reflects on the relevance of the protection of judicial independence for the strengthening of the rule of law and the strengthening of the democratic political regime in Latin America.</w:t>
      </w:r>
    </w:p>
    <w:p w:rsidR="00A55090" w:rsidRPr="00E10111" w:rsidRDefault="00A55090" w:rsidP="00E10C89">
      <w:pPr>
        <w:spacing w:before="4" w:after="240" w:line="360" w:lineRule="auto"/>
        <w:jc w:val="both"/>
        <w:rPr>
          <w:rFonts w:ascii="Arial" w:hAnsi="Arial" w:cs="Arial"/>
          <w:bCs/>
          <w:iCs/>
          <w:sz w:val="24"/>
          <w:szCs w:val="24"/>
          <w:lang w:val="en-US"/>
        </w:rPr>
      </w:pPr>
      <w:r w:rsidRPr="00E10111">
        <w:rPr>
          <w:rFonts w:ascii="Arial" w:hAnsi="Arial" w:cs="Arial"/>
          <w:b/>
          <w:bCs/>
          <w:iCs/>
          <w:sz w:val="24"/>
          <w:szCs w:val="24"/>
          <w:lang w:val="en-US"/>
        </w:rPr>
        <w:t>KEYWORDS:</w:t>
      </w:r>
      <w:r w:rsidR="002C0640" w:rsidRPr="00E10111">
        <w:rPr>
          <w:rFonts w:ascii="Arial" w:hAnsi="Arial" w:cs="Arial"/>
          <w:b/>
          <w:bCs/>
          <w:iCs/>
          <w:sz w:val="24"/>
          <w:szCs w:val="24"/>
          <w:lang w:val="en-US"/>
        </w:rPr>
        <w:t xml:space="preserve"> </w:t>
      </w:r>
      <w:r w:rsidR="002C0640" w:rsidRPr="00E10111">
        <w:rPr>
          <w:rFonts w:ascii="Arial" w:hAnsi="Arial" w:cs="Arial"/>
          <w:bCs/>
          <w:iCs/>
          <w:sz w:val="24"/>
          <w:szCs w:val="24"/>
          <w:lang w:val="en-US"/>
        </w:rPr>
        <w:t xml:space="preserve">Inter-American Court of Human Rights </w:t>
      </w:r>
      <w:r w:rsidR="006E05EB" w:rsidRPr="00E10111">
        <w:rPr>
          <w:rFonts w:ascii="Arial" w:hAnsi="Arial" w:cs="Arial"/>
          <w:bCs/>
          <w:iCs/>
          <w:sz w:val="24"/>
          <w:szCs w:val="24"/>
          <w:lang w:val="en-US"/>
        </w:rPr>
        <w:t>/</w:t>
      </w:r>
      <w:r w:rsidR="002C0640" w:rsidRPr="00E10111">
        <w:rPr>
          <w:rFonts w:ascii="Arial" w:hAnsi="Arial" w:cs="Arial"/>
          <w:bCs/>
          <w:iCs/>
          <w:sz w:val="24"/>
          <w:szCs w:val="24"/>
          <w:lang w:val="en-US"/>
        </w:rPr>
        <w:t xml:space="preserve"> Human Rights </w:t>
      </w:r>
      <w:r w:rsidR="006E05EB" w:rsidRPr="00E10111">
        <w:rPr>
          <w:rFonts w:ascii="Arial" w:hAnsi="Arial" w:cs="Arial"/>
          <w:bCs/>
          <w:iCs/>
          <w:sz w:val="24"/>
          <w:szCs w:val="24"/>
          <w:lang w:val="en-US"/>
        </w:rPr>
        <w:t>/</w:t>
      </w:r>
      <w:r w:rsidR="002C0640" w:rsidRPr="00E10111">
        <w:rPr>
          <w:rFonts w:ascii="Arial" w:hAnsi="Arial" w:cs="Arial"/>
          <w:bCs/>
          <w:iCs/>
          <w:sz w:val="24"/>
          <w:szCs w:val="24"/>
          <w:lang w:val="en-US"/>
        </w:rPr>
        <w:t xml:space="preserve"> Judicial Independence </w:t>
      </w:r>
      <w:r w:rsidR="006E05EB" w:rsidRPr="00E10111">
        <w:rPr>
          <w:rFonts w:ascii="Arial" w:hAnsi="Arial" w:cs="Arial"/>
          <w:bCs/>
          <w:iCs/>
          <w:sz w:val="24"/>
          <w:szCs w:val="24"/>
          <w:lang w:val="en-US"/>
        </w:rPr>
        <w:t xml:space="preserve">/ </w:t>
      </w:r>
      <w:r w:rsidR="002C0640" w:rsidRPr="00E10111">
        <w:rPr>
          <w:rFonts w:ascii="Arial" w:hAnsi="Arial" w:cs="Arial"/>
          <w:bCs/>
          <w:iCs/>
          <w:sz w:val="24"/>
          <w:szCs w:val="24"/>
          <w:lang w:val="en-US"/>
        </w:rPr>
        <w:t xml:space="preserve">Rule of the law </w:t>
      </w:r>
      <w:r w:rsidR="006E05EB" w:rsidRPr="00E10111">
        <w:rPr>
          <w:rFonts w:ascii="Arial" w:hAnsi="Arial" w:cs="Arial"/>
          <w:bCs/>
          <w:iCs/>
          <w:sz w:val="24"/>
          <w:szCs w:val="24"/>
          <w:lang w:val="en-US"/>
        </w:rPr>
        <w:t>/</w:t>
      </w:r>
      <w:r w:rsidR="002C0640" w:rsidRPr="00E10111">
        <w:rPr>
          <w:rFonts w:ascii="Arial" w:hAnsi="Arial" w:cs="Arial"/>
          <w:bCs/>
          <w:iCs/>
          <w:sz w:val="24"/>
          <w:szCs w:val="24"/>
          <w:lang w:val="en-US"/>
        </w:rPr>
        <w:t xml:space="preserve"> Democracy </w:t>
      </w:r>
    </w:p>
    <w:p w:rsidR="00AC7124" w:rsidRPr="001A4DC9" w:rsidRDefault="00E23EFF" w:rsidP="00E10C89">
      <w:pPr>
        <w:spacing w:before="4" w:after="240" w:line="360" w:lineRule="auto"/>
        <w:jc w:val="both"/>
        <w:rPr>
          <w:rFonts w:ascii="Arial" w:hAnsi="Arial" w:cs="Arial"/>
          <w:b/>
          <w:bCs/>
          <w:sz w:val="24"/>
          <w:szCs w:val="24"/>
          <w:lang w:val="es-ES"/>
        </w:rPr>
      </w:pPr>
      <w:r w:rsidRPr="001A4DC9">
        <w:rPr>
          <w:rFonts w:ascii="Arial" w:hAnsi="Arial" w:cs="Arial"/>
          <w:b/>
          <w:bCs/>
          <w:iCs/>
          <w:sz w:val="24"/>
          <w:szCs w:val="24"/>
          <w:lang w:val="es-ES"/>
        </w:rPr>
        <w:t>SUMARIO:</w:t>
      </w:r>
      <w:r w:rsidRPr="001A4DC9">
        <w:rPr>
          <w:rFonts w:ascii="Arial" w:hAnsi="Arial" w:cs="Arial"/>
          <w:b/>
          <w:bCs/>
          <w:sz w:val="24"/>
          <w:szCs w:val="24"/>
          <w:lang w:val="es-ES"/>
        </w:rPr>
        <w:t xml:space="preserve"> 1.</w:t>
      </w:r>
      <w:r w:rsidRPr="001A4DC9">
        <w:rPr>
          <w:rFonts w:ascii="Arial" w:hAnsi="Arial" w:cs="Arial"/>
          <w:sz w:val="24"/>
          <w:szCs w:val="24"/>
          <w:lang w:val="es-ES"/>
        </w:rPr>
        <w:t xml:space="preserve"> Introducción. -  </w:t>
      </w:r>
      <w:r w:rsidRPr="001A4DC9">
        <w:rPr>
          <w:rFonts w:ascii="Arial" w:hAnsi="Arial" w:cs="Arial"/>
          <w:b/>
          <w:bCs/>
          <w:sz w:val="24"/>
          <w:szCs w:val="24"/>
          <w:lang w:val="es-ES"/>
        </w:rPr>
        <w:t xml:space="preserve">2. </w:t>
      </w:r>
      <w:r w:rsidRPr="001A4DC9">
        <w:rPr>
          <w:rFonts w:ascii="Arial" w:hAnsi="Arial" w:cs="Arial"/>
          <w:sz w:val="24"/>
          <w:szCs w:val="24"/>
          <w:lang w:val="es-ES"/>
        </w:rPr>
        <w:t xml:space="preserve">La independencia judicial en la Convención Americana de Derechos Humanos. -  </w:t>
      </w:r>
      <w:r w:rsidRPr="001A4DC9">
        <w:rPr>
          <w:rFonts w:ascii="Arial" w:hAnsi="Arial" w:cs="Arial"/>
          <w:b/>
          <w:bCs/>
          <w:sz w:val="24"/>
          <w:szCs w:val="24"/>
          <w:lang w:val="es-ES"/>
        </w:rPr>
        <w:t>3.</w:t>
      </w:r>
      <w:r w:rsidRPr="001A4DC9">
        <w:rPr>
          <w:rFonts w:ascii="Arial" w:hAnsi="Arial" w:cs="Arial"/>
          <w:sz w:val="24"/>
          <w:szCs w:val="24"/>
          <w:lang w:val="es-ES"/>
        </w:rPr>
        <w:t xml:space="preserve"> La tutela de la independencia judicial en la jurisprudencia de la Corte Interamericana de Derechos Humanos.</w:t>
      </w:r>
      <w:bookmarkStart w:id="0" w:name="_Hlk26869662"/>
      <w:r w:rsidR="00004D6A" w:rsidRPr="001A4DC9">
        <w:rPr>
          <w:rFonts w:ascii="Arial" w:hAnsi="Arial" w:cs="Arial"/>
          <w:b/>
          <w:bCs/>
          <w:sz w:val="24"/>
          <w:szCs w:val="24"/>
          <w:lang w:val="es-ES"/>
        </w:rPr>
        <w:t xml:space="preserve"> -</w:t>
      </w:r>
      <w:r w:rsidR="00004D6A" w:rsidRPr="001A4DC9">
        <w:rPr>
          <w:rFonts w:ascii="Arial" w:hAnsi="Arial" w:cs="Arial"/>
          <w:sz w:val="24"/>
          <w:szCs w:val="24"/>
          <w:lang w:val="es-ES"/>
        </w:rPr>
        <w:t xml:space="preserve"> </w:t>
      </w:r>
      <w:r w:rsidR="00023318" w:rsidRPr="001A4DC9">
        <w:rPr>
          <w:rFonts w:ascii="Arial" w:hAnsi="Arial" w:cs="Arial"/>
          <w:b/>
          <w:bCs/>
          <w:sz w:val="24"/>
          <w:szCs w:val="24"/>
          <w:lang w:val="es-ES"/>
        </w:rPr>
        <w:t>3.1.</w:t>
      </w:r>
      <w:r w:rsidR="00023318" w:rsidRPr="001A4DC9">
        <w:rPr>
          <w:rFonts w:ascii="Arial" w:hAnsi="Arial" w:cs="Arial"/>
          <w:sz w:val="24"/>
          <w:szCs w:val="24"/>
          <w:lang w:val="es-ES"/>
        </w:rPr>
        <w:t xml:space="preserve"> Caso Tribunal Constitucional vs. </w:t>
      </w:r>
      <w:r w:rsidR="00023318" w:rsidRPr="001A4DC9">
        <w:rPr>
          <w:rFonts w:ascii="Arial" w:hAnsi="Arial" w:cs="Arial"/>
          <w:sz w:val="24"/>
          <w:szCs w:val="24"/>
          <w:lang w:val="es-ES"/>
        </w:rPr>
        <w:lastRenderedPageBreak/>
        <w:t xml:space="preserve">Perú (2001). -  </w:t>
      </w:r>
      <w:r w:rsidR="00023318" w:rsidRPr="001A4DC9">
        <w:rPr>
          <w:rFonts w:ascii="Arial" w:hAnsi="Arial" w:cs="Arial"/>
          <w:b/>
          <w:bCs/>
          <w:sz w:val="24"/>
          <w:szCs w:val="24"/>
          <w:lang w:val="es-ES"/>
        </w:rPr>
        <w:t xml:space="preserve">3.2. </w:t>
      </w:r>
      <w:r w:rsidR="00023318" w:rsidRPr="001A4DC9">
        <w:rPr>
          <w:rFonts w:ascii="Arial" w:hAnsi="Arial" w:cs="Arial"/>
          <w:sz w:val="24"/>
          <w:szCs w:val="24"/>
          <w:lang w:val="es-ES"/>
        </w:rPr>
        <w:t>Caso Apitz Barnera y otros vs. Venezuela (2008). –</w:t>
      </w:r>
      <w:r w:rsidR="00023318" w:rsidRPr="001A4DC9">
        <w:rPr>
          <w:rFonts w:ascii="Arial" w:hAnsi="Arial" w:cs="Arial"/>
          <w:b/>
          <w:bCs/>
          <w:sz w:val="24"/>
          <w:szCs w:val="24"/>
          <w:lang w:val="es-ES"/>
        </w:rPr>
        <w:t xml:space="preserve"> 3.3.</w:t>
      </w:r>
      <w:r w:rsidR="00023318" w:rsidRPr="001A4DC9">
        <w:rPr>
          <w:rFonts w:ascii="Arial" w:hAnsi="Arial" w:cs="Arial"/>
          <w:sz w:val="24"/>
          <w:szCs w:val="24"/>
          <w:lang w:val="es-ES"/>
        </w:rPr>
        <w:t xml:space="preserve">  Caso Reverón Trujillo vs. Venezuela (2009). -</w:t>
      </w:r>
      <w:r w:rsidR="00023318" w:rsidRPr="001A4DC9">
        <w:rPr>
          <w:rFonts w:ascii="Arial" w:hAnsi="Arial" w:cs="Arial"/>
          <w:b/>
          <w:bCs/>
          <w:sz w:val="24"/>
          <w:szCs w:val="24"/>
          <w:lang w:val="es-ES"/>
        </w:rPr>
        <w:t xml:space="preserve"> 3.4. </w:t>
      </w:r>
      <w:r w:rsidR="00023318" w:rsidRPr="001A4DC9">
        <w:rPr>
          <w:rFonts w:ascii="Arial" w:hAnsi="Arial" w:cs="Arial"/>
          <w:sz w:val="24"/>
          <w:szCs w:val="24"/>
          <w:lang w:val="es-ES"/>
        </w:rPr>
        <w:t xml:space="preserve">Caso Corte Suprema de Justicia (Quintana Coello y otros) vs. Ecuador (2013). -  </w:t>
      </w:r>
      <w:r w:rsidR="00915443" w:rsidRPr="001A4DC9">
        <w:rPr>
          <w:rFonts w:ascii="Arial" w:hAnsi="Arial" w:cs="Arial"/>
          <w:b/>
          <w:bCs/>
          <w:sz w:val="24"/>
          <w:szCs w:val="24"/>
          <w:lang w:val="es-ES"/>
        </w:rPr>
        <w:t>3.5.</w:t>
      </w:r>
      <w:r w:rsidR="00915443" w:rsidRPr="001A4DC9">
        <w:rPr>
          <w:rFonts w:ascii="Arial" w:hAnsi="Arial" w:cs="Arial"/>
          <w:sz w:val="24"/>
          <w:szCs w:val="24"/>
          <w:lang w:val="es-ES"/>
        </w:rPr>
        <w:t xml:space="preserve"> Caso López Lone y otros vs. Honduras (2015). -  </w:t>
      </w:r>
      <w:r w:rsidR="00915443" w:rsidRPr="001A4DC9">
        <w:rPr>
          <w:rFonts w:ascii="Arial" w:hAnsi="Arial" w:cs="Arial"/>
          <w:b/>
          <w:bCs/>
          <w:sz w:val="24"/>
          <w:szCs w:val="24"/>
          <w:lang w:val="es-ES"/>
        </w:rPr>
        <w:t>3.6.</w:t>
      </w:r>
      <w:r w:rsidR="00915443" w:rsidRPr="001A4DC9">
        <w:rPr>
          <w:rFonts w:ascii="Arial" w:hAnsi="Arial" w:cs="Arial"/>
          <w:sz w:val="24"/>
          <w:szCs w:val="24"/>
          <w:lang w:val="es-ES"/>
        </w:rPr>
        <w:t xml:space="preserve"> Caso Colindres Schonenberg vs. El Salvador</w:t>
      </w:r>
      <w:r w:rsidR="00C56CC4" w:rsidRPr="001A4DC9">
        <w:rPr>
          <w:rFonts w:ascii="Arial" w:hAnsi="Arial" w:cs="Arial"/>
          <w:sz w:val="24"/>
          <w:szCs w:val="24"/>
          <w:lang w:val="es-ES"/>
        </w:rPr>
        <w:t xml:space="preserve"> (2019). - </w:t>
      </w:r>
      <w:r w:rsidR="00C56CC4" w:rsidRPr="001A4DC9">
        <w:rPr>
          <w:rFonts w:ascii="Arial" w:hAnsi="Arial" w:cs="Arial"/>
          <w:b/>
          <w:bCs/>
          <w:sz w:val="24"/>
          <w:szCs w:val="24"/>
          <w:lang w:val="es-ES"/>
        </w:rPr>
        <w:t>3.7.</w:t>
      </w:r>
      <w:r w:rsidR="00C56CC4" w:rsidRPr="001A4DC9">
        <w:rPr>
          <w:rFonts w:ascii="Arial" w:hAnsi="Arial" w:cs="Arial"/>
          <w:sz w:val="24"/>
          <w:szCs w:val="24"/>
          <w:lang w:val="es-ES"/>
        </w:rPr>
        <w:t xml:space="preserve"> Caso Villaseñor Velarde y otros vs. Guatemala.</w:t>
      </w:r>
      <w:r w:rsidR="00C56CC4" w:rsidRPr="001A4DC9">
        <w:rPr>
          <w:rFonts w:ascii="Arial" w:hAnsi="Arial" w:cs="Arial"/>
          <w:b/>
          <w:bCs/>
          <w:sz w:val="24"/>
          <w:szCs w:val="24"/>
          <w:lang w:val="es-ES"/>
        </w:rPr>
        <w:t xml:space="preserve"> </w:t>
      </w:r>
      <w:bookmarkEnd w:id="0"/>
      <w:r w:rsidR="00C56CC4" w:rsidRPr="001A4DC9">
        <w:rPr>
          <w:rFonts w:ascii="Arial" w:hAnsi="Arial" w:cs="Arial"/>
          <w:sz w:val="24"/>
          <w:szCs w:val="24"/>
          <w:lang w:val="es-ES"/>
        </w:rPr>
        <w:t xml:space="preserve">– </w:t>
      </w:r>
      <w:r w:rsidR="00C56CC4" w:rsidRPr="001A4DC9">
        <w:rPr>
          <w:rFonts w:ascii="Arial" w:hAnsi="Arial" w:cs="Arial"/>
          <w:b/>
          <w:bCs/>
          <w:sz w:val="24"/>
          <w:szCs w:val="24"/>
          <w:lang w:val="es-ES"/>
        </w:rPr>
        <w:t xml:space="preserve">4. </w:t>
      </w:r>
      <w:r w:rsidR="00C56CC4" w:rsidRPr="001A4DC9">
        <w:rPr>
          <w:rFonts w:ascii="Arial" w:hAnsi="Arial" w:cs="Arial"/>
          <w:sz w:val="24"/>
          <w:szCs w:val="24"/>
          <w:lang w:val="es-ES"/>
        </w:rPr>
        <w:t>La independencia judicial como pilar del Estado Constitucional y Social de Derecho</w:t>
      </w:r>
      <w:r w:rsidR="00823C3E" w:rsidRPr="001A4DC9">
        <w:rPr>
          <w:rFonts w:ascii="Arial" w:hAnsi="Arial" w:cs="Arial"/>
          <w:sz w:val="24"/>
          <w:szCs w:val="24"/>
          <w:lang w:val="es-ES"/>
        </w:rPr>
        <w:t xml:space="preserve"> y del fortalecimiento de la democracia</w:t>
      </w:r>
      <w:r w:rsidR="00004D6A" w:rsidRPr="001A4DC9">
        <w:rPr>
          <w:rFonts w:ascii="Arial" w:hAnsi="Arial" w:cs="Arial"/>
          <w:sz w:val="24"/>
          <w:szCs w:val="24"/>
          <w:lang w:val="es-ES"/>
        </w:rPr>
        <w:t xml:space="preserve"> en América Latina</w:t>
      </w:r>
      <w:r w:rsidR="00C56CC4" w:rsidRPr="001A4DC9">
        <w:rPr>
          <w:rFonts w:ascii="Arial" w:hAnsi="Arial" w:cs="Arial"/>
          <w:sz w:val="24"/>
          <w:szCs w:val="24"/>
          <w:lang w:val="es-ES"/>
        </w:rPr>
        <w:t>. -</w:t>
      </w:r>
      <w:r w:rsidR="00C56CC4" w:rsidRPr="001A4DC9">
        <w:rPr>
          <w:rFonts w:ascii="Arial" w:hAnsi="Arial" w:cs="Arial"/>
          <w:b/>
          <w:bCs/>
          <w:sz w:val="24"/>
          <w:szCs w:val="24"/>
          <w:lang w:val="es-ES"/>
        </w:rPr>
        <w:t xml:space="preserve"> 5. </w:t>
      </w:r>
      <w:r w:rsidR="00C56CC4" w:rsidRPr="001A4DC9">
        <w:rPr>
          <w:rFonts w:ascii="Arial" w:hAnsi="Arial" w:cs="Arial"/>
          <w:sz w:val="24"/>
          <w:szCs w:val="24"/>
          <w:lang w:val="es-ES"/>
        </w:rPr>
        <w:t>Bibliografía.</w:t>
      </w:r>
      <w:r w:rsidR="00C56CC4" w:rsidRPr="001A4DC9">
        <w:rPr>
          <w:rFonts w:ascii="Arial" w:hAnsi="Arial" w:cs="Arial"/>
          <w:b/>
          <w:bCs/>
          <w:sz w:val="24"/>
          <w:szCs w:val="24"/>
          <w:lang w:val="es-ES"/>
        </w:rPr>
        <w:t xml:space="preserve"> </w:t>
      </w:r>
    </w:p>
    <w:p w:rsidR="00E23EFF" w:rsidRPr="001A4DC9" w:rsidRDefault="00E23EFF" w:rsidP="00E10C89">
      <w:pPr>
        <w:spacing w:before="4" w:after="240" w:line="360" w:lineRule="auto"/>
        <w:jc w:val="both"/>
        <w:rPr>
          <w:rFonts w:ascii="Arial" w:hAnsi="Arial" w:cs="Arial"/>
          <w:b/>
          <w:bCs/>
          <w:sz w:val="24"/>
          <w:szCs w:val="24"/>
          <w:lang w:val="es-ES"/>
        </w:rPr>
      </w:pPr>
      <w:r w:rsidRPr="001A4DC9">
        <w:rPr>
          <w:rFonts w:ascii="Arial" w:hAnsi="Arial" w:cs="Arial"/>
          <w:b/>
          <w:bCs/>
          <w:sz w:val="24"/>
          <w:szCs w:val="24"/>
          <w:lang w:val="es-ES"/>
        </w:rPr>
        <w:t>1. Introducción</w:t>
      </w:r>
    </w:p>
    <w:p w:rsidR="00E23EFF" w:rsidRPr="001A4DC9" w:rsidRDefault="00E23EFF" w:rsidP="00E10C89">
      <w:pPr>
        <w:spacing w:before="4" w:after="240" w:line="360" w:lineRule="auto"/>
        <w:jc w:val="both"/>
        <w:rPr>
          <w:rFonts w:ascii="Arial" w:hAnsi="Arial" w:cs="Arial"/>
          <w:sz w:val="24"/>
          <w:szCs w:val="24"/>
          <w:lang w:val="es-ES"/>
        </w:rPr>
      </w:pPr>
      <w:bookmarkStart w:id="1" w:name="_Hlk26884529"/>
      <w:r w:rsidRPr="001A4DC9">
        <w:rPr>
          <w:rFonts w:ascii="Arial" w:hAnsi="Arial" w:cs="Arial"/>
          <w:sz w:val="24"/>
          <w:szCs w:val="24"/>
          <w:lang w:val="es-ES"/>
        </w:rPr>
        <w:t>La independencia del Poder Judicial es un componente esencial del derecho a un juicio imparcial y del Estado Constitucional y Social de Derecho. El requisito de la independencia e imparcialidad de los jueces no es una prerrogativa</w:t>
      </w:r>
      <w:r w:rsidR="00206ECF" w:rsidRPr="001A4DC9">
        <w:rPr>
          <w:rFonts w:ascii="Arial" w:hAnsi="Arial" w:cs="Arial"/>
          <w:sz w:val="24"/>
          <w:szCs w:val="24"/>
          <w:lang w:val="es-ES"/>
        </w:rPr>
        <w:t>,</w:t>
      </w:r>
      <w:r w:rsidRPr="001A4DC9">
        <w:rPr>
          <w:rFonts w:ascii="Arial" w:hAnsi="Arial" w:cs="Arial"/>
          <w:sz w:val="24"/>
          <w:szCs w:val="24"/>
          <w:lang w:val="es-ES"/>
        </w:rPr>
        <w:t xml:space="preserve"> ni un privilegio que se les reconozca en su propio beneficio, sino que se justifica por la necesidad de que puedan ejercer su función de guardianes del estado de derecho y de los derechos humanos de las personas. </w:t>
      </w:r>
      <w:bookmarkEnd w:id="1"/>
    </w:p>
    <w:p w:rsidR="00E23EFF" w:rsidRPr="001A4DC9" w:rsidRDefault="00E23EFF" w:rsidP="00E10C89">
      <w:pPr>
        <w:spacing w:before="4" w:after="240" w:line="360" w:lineRule="auto"/>
        <w:jc w:val="both"/>
        <w:rPr>
          <w:rFonts w:ascii="Arial" w:hAnsi="Arial" w:cs="Arial"/>
          <w:sz w:val="24"/>
          <w:szCs w:val="24"/>
          <w:lang w:val="es-ES"/>
        </w:rPr>
      </w:pPr>
      <w:r w:rsidRPr="001A4DC9">
        <w:rPr>
          <w:rFonts w:ascii="Arial" w:hAnsi="Arial" w:cs="Arial"/>
          <w:sz w:val="24"/>
          <w:szCs w:val="24"/>
          <w:lang w:val="es-ES"/>
        </w:rPr>
        <w:t>Pero no debemos olvidar que cuando hablamos de poder, no importa cuál, el equilibrio de poderes se pierde con facilidad, porque el poder es huidizo en su expresión, en su percepción. El poder se asemeja a las muñecas rusas, se van abriendo muñecas que contienen otras y así hasta el infinito, y muchas de ellas son huecas. Así pasa con el poder, se esconde y al final del análisis, nos encontramos una persona concreta o una entelequia que deja pendientes muchas dudas</w:t>
      </w:r>
      <w:r w:rsidRPr="001A4DC9">
        <w:rPr>
          <w:rStyle w:val="FootnoteReference"/>
          <w:rFonts w:ascii="Arial" w:hAnsi="Arial" w:cs="Arial"/>
          <w:sz w:val="24"/>
          <w:szCs w:val="24"/>
          <w:lang w:val="es-ES"/>
        </w:rPr>
        <w:footnoteReference w:id="2"/>
      </w:r>
      <w:r w:rsidRPr="001A4DC9">
        <w:rPr>
          <w:rFonts w:ascii="Arial" w:hAnsi="Arial" w:cs="Arial"/>
          <w:sz w:val="24"/>
          <w:szCs w:val="24"/>
          <w:lang w:val="es-ES"/>
        </w:rPr>
        <w:t>. El poder judicial se mueve entre poderes, formales y reales, así pueden interaccionar o entrecruzarse, sin que nadie pueda tener una idea precisa de quién gobierna, porque los que lo ejercen lo hacen desde el silencio</w:t>
      </w:r>
      <w:r w:rsidRPr="001A4DC9">
        <w:rPr>
          <w:rStyle w:val="FootnoteReference"/>
          <w:rFonts w:ascii="Arial" w:hAnsi="Arial" w:cs="Arial"/>
          <w:sz w:val="24"/>
          <w:szCs w:val="24"/>
          <w:lang w:val="es-ES"/>
        </w:rPr>
        <w:footnoteReference w:id="3"/>
      </w:r>
      <w:r w:rsidRPr="001A4DC9">
        <w:rPr>
          <w:rFonts w:ascii="Arial" w:hAnsi="Arial" w:cs="Arial"/>
          <w:sz w:val="24"/>
          <w:szCs w:val="24"/>
          <w:lang w:val="es-ES"/>
        </w:rPr>
        <w:t xml:space="preserve">. Este entramado del poder debe tenerse presente al abordar un tema como el poder judicial, no podemos evitar las formalidades, pero hay que tener presente la realidad, con </w:t>
      </w:r>
      <w:r w:rsidRPr="001A4DC9">
        <w:rPr>
          <w:rFonts w:ascii="Arial" w:hAnsi="Arial" w:cs="Arial"/>
          <w:sz w:val="24"/>
          <w:szCs w:val="24"/>
          <w:lang w:val="es-ES"/>
        </w:rPr>
        <w:lastRenderedPageBreak/>
        <w:t xml:space="preserve">sus sombras, sus silencios y sus poderes. Esta es una nota al pie para ubicarnos en un discurso que no pretende quedar en formalidades y frases comunes. </w:t>
      </w:r>
    </w:p>
    <w:p w:rsidR="00E23EFF" w:rsidRPr="001A4DC9" w:rsidRDefault="00E23EFF" w:rsidP="00E10C89">
      <w:pPr>
        <w:spacing w:before="4" w:after="240" w:line="360" w:lineRule="auto"/>
        <w:jc w:val="both"/>
        <w:rPr>
          <w:rFonts w:ascii="Arial" w:hAnsi="Arial" w:cs="Arial"/>
          <w:sz w:val="24"/>
          <w:szCs w:val="24"/>
          <w:lang w:val="es-ES"/>
        </w:rPr>
      </w:pPr>
      <w:r w:rsidRPr="001A4DC9">
        <w:rPr>
          <w:rFonts w:ascii="Arial" w:hAnsi="Arial" w:cs="Arial"/>
          <w:sz w:val="24"/>
          <w:szCs w:val="24"/>
          <w:lang w:val="es-ES"/>
        </w:rPr>
        <w:t xml:space="preserve">Como tal, </w:t>
      </w:r>
      <w:bookmarkStart w:id="2" w:name="_Hlk26884623"/>
      <w:r w:rsidRPr="001A4DC9">
        <w:rPr>
          <w:rFonts w:ascii="Arial" w:hAnsi="Arial" w:cs="Arial"/>
          <w:sz w:val="24"/>
          <w:szCs w:val="24"/>
          <w:lang w:val="es-ES"/>
        </w:rPr>
        <w:t>la independencia del Poder Judicial debería ser considerada por todos los ciudadanos como una garantía de verdad, libertad, respeto de los derechos humanos y justicia imparcial, libre de influencias externas, es decir, que se resuelvan los procesos judiciales de conformidad con el ordenamiento jurídico vigente.</w:t>
      </w:r>
    </w:p>
    <w:bookmarkEnd w:id="2"/>
    <w:p w:rsidR="00E23EFF" w:rsidRPr="001A4DC9" w:rsidRDefault="00E23EFF" w:rsidP="00E10C89">
      <w:pPr>
        <w:spacing w:before="4" w:after="240" w:line="360" w:lineRule="auto"/>
        <w:jc w:val="both"/>
        <w:rPr>
          <w:rFonts w:ascii="Arial" w:hAnsi="Arial" w:cs="Arial"/>
          <w:sz w:val="24"/>
          <w:szCs w:val="24"/>
          <w:lang w:val="es-ES"/>
        </w:rPr>
      </w:pPr>
      <w:r w:rsidRPr="001A4DC9">
        <w:rPr>
          <w:rFonts w:ascii="Arial" w:hAnsi="Arial" w:cs="Arial"/>
          <w:sz w:val="24"/>
          <w:szCs w:val="24"/>
          <w:lang w:val="es-ES"/>
        </w:rPr>
        <w:t>Las normas internacionales disponen que todas las instituciones gubernamentales y de otra índole deben respetar y acatar la independencia de la judicatura, y adoptar todas las medidas apropiadas para que los jueces puedan resolver los asuntos que conozcan con imparcialidad y sin influencias, presiones o intromisiones indebidas</w:t>
      </w:r>
      <w:r w:rsidR="005457AB" w:rsidRPr="001A4DC9">
        <w:rPr>
          <w:rStyle w:val="FootnoteReference"/>
          <w:rFonts w:ascii="Arial" w:hAnsi="Arial" w:cs="Arial"/>
          <w:sz w:val="24"/>
          <w:szCs w:val="24"/>
          <w:lang w:val="es-ES"/>
        </w:rPr>
        <w:footnoteReference w:id="4"/>
      </w:r>
      <w:r w:rsidRPr="001A4DC9">
        <w:rPr>
          <w:rFonts w:ascii="Arial" w:hAnsi="Arial" w:cs="Arial"/>
          <w:sz w:val="24"/>
          <w:szCs w:val="24"/>
          <w:lang w:val="es-ES"/>
        </w:rPr>
        <w:t>.</w:t>
      </w:r>
    </w:p>
    <w:p w:rsidR="00E10C89" w:rsidRPr="001A4DC9" w:rsidRDefault="00E23EFF" w:rsidP="00E10C89">
      <w:pPr>
        <w:spacing w:before="4" w:after="240" w:line="360" w:lineRule="auto"/>
        <w:jc w:val="both"/>
        <w:rPr>
          <w:rFonts w:ascii="Arial" w:hAnsi="Arial" w:cs="Arial"/>
          <w:sz w:val="24"/>
          <w:szCs w:val="24"/>
          <w:lang w:val="es-ES"/>
        </w:rPr>
      </w:pPr>
      <w:r w:rsidRPr="001A4DC9">
        <w:rPr>
          <w:rFonts w:ascii="Arial" w:hAnsi="Arial" w:cs="Arial"/>
          <w:sz w:val="24"/>
          <w:szCs w:val="24"/>
          <w:lang w:val="es-ES"/>
        </w:rPr>
        <w:t xml:space="preserve">No obstante lo anterior, la independencia judicial es débil, requiere un reconocimiento normativo y socio cultural bien definido, de lo contrario, el Poder Judicial se convierte en un poder de segundo orden, por no decir, en un subalterno de los otros poderes. </w:t>
      </w:r>
    </w:p>
    <w:p w:rsidR="00E23EFF" w:rsidRPr="001A4DC9" w:rsidRDefault="00E23EFF" w:rsidP="00E10C89">
      <w:pPr>
        <w:spacing w:before="4" w:after="240" w:line="360" w:lineRule="auto"/>
        <w:jc w:val="both"/>
        <w:rPr>
          <w:rFonts w:ascii="Arial" w:hAnsi="Arial" w:cs="Arial"/>
          <w:sz w:val="24"/>
          <w:szCs w:val="24"/>
          <w:lang w:val="es-ES"/>
        </w:rPr>
      </w:pPr>
      <w:r w:rsidRPr="001A4DC9">
        <w:rPr>
          <w:rFonts w:ascii="Arial" w:hAnsi="Arial" w:cs="Arial"/>
          <w:sz w:val="24"/>
          <w:szCs w:val="24"/>
          <w:lang w:val="es-ES"/>
        </w:rPr>
        <w:t xml:space="preserve">Los otros poderes están vinculados por los partidos políticos, la judicatura no puede nadar en esas aguas, así es que fácilmente se colige que tanto la Administración como el Parlamento, poseen vasos comunicantes que le permiten neutralizar al poder silencioso, el poder que no puede negociar, el que decide conflictos y que es determinante en el equilibrio de poderes. Pero eso puede socavarse por la voluntad política que converge en la Administración y el Parlamento. La experiencia en la primera parte del siglo veinte sobre independencia judicial, culminó con reglas que existen en las constituciones e </w:t>
      </w:r>
      <w:r w:rsidRPr="001A4DC9">
        <w:rPr>
          <w:rFonts w:ascii="Arial" w:hAnsi="Arial" w:cs="Arial"/>
          <w:sz w:val="24"/>
          <w:szCs w:val="24"/>
          <w:lang w:val="es-ES"/>
        </w:rPr>
        <w:lastRenderedPageBreak/>
        <w:t xml:space="preserve">instrumentos convencionales de derechos humanos, sin embargo, en algunos aspectos, son insuficientes.  </w:t>
      </w:r>
    </w:p>
    <w:p w:rsidR="00023318" w:rsidRPr="001A4DC9" w:rsidRDefault="00023318" w:rsidP="00E10C89">
      <w:pPr>
        <w:spacing w:before="4" w:after="240" w:line="360" w:lineRule="auto"/>
        <w:jc w:val="both"/>
        <w:rPr>
          <w:rFonts w:ascii="Arial" w:hAnsi="Arial" w:cs="Arial"/>
          <w:b/>
          <w:bCs/>
          <w:sz w:val="24"/>
          <w:szCs w:val="24"/>
          <w:lang w:val="es-ES"/>
        </w:rPr>
      </w:pPr>
      <w:r w:rsidRPr="001A4DC9">
        <w:rPr>
          <w:rFonts w:ascii="Arial" w:hAnsi="Arial" w:cs="Arial"/>
          <w:b/>
          <w:bCs/>
          <w:sz w:val="24"/>
          <w:szCs w:val="24"/>
          <w:lang w:val="es-ES"/>
        </w:rPr>
        <w:t>2. La independencia judicial en la Convención Americana de Derechos Humanos</w:t>
      </w:r>
    </w:p>
    <w:p w:rsidR="00023318" w:rsidRPr="001A4DC9" w:rsidRDefault="00023318" w:rsidP="00E10C89">
      <w:pPr>
        <w:spacing w:before="4" w:after="240" w:line="360" w:lineRule="auto"/>
        <w:jc w:val="both"/>
        <w:rPr>
          <w:rFonts w:ascii="Arial" w:hAnsi="Arial" w:cs="Arial"/>
          <w:sz w:val="24"/>
          <w:szCs w:val="24"/>
          <w:lang w:val="es-ES"/>
        </w:rPr>
      </w:pPr>
      <w:r w:rsidRPr="001A4DC9">
        <w:rPr>
          <w:rFonts w:ascii="Arial" w:hAnsi="Arial" w:cs="Arial"/>
          <w:sz w:val="24"/>
          <w:szCs w:val="24"/>
          <w:lang w:val="es-ES"/>
        </w:rPr>
        <w:t>La particularidad de las funciones jurisdiccionales conlleva específicas garantías que se manifiestan en la posición de autonomía, independencia e imparcialidad del juez</w:t>
      </w:r>
      <w:r w:rsidR="00206ECF" w:rsidRPr="001A4DC9">
        <w:rPr>
          <w:rStyle w:val="FootnoteReference"/>
          <w:rFonts w:ascii="Arial" w:hAnsi="Arial" w:cs="Arial"/>
          <w:sz w:val="24"/>
          <w:szCs w:val="24"/>
          <w:lang w:val="es-ES"/>
        </w:rPr>
        <w:footnoteReference w:id="5"/>
      </w:r>
      <w:r w:rsidRPr="001A4DC9">
        <w:rPr>
          <w:rFonts w:ascii="Arial" w:hAnsi="Arial" w:cs="Arial"/>
          <w:sz w:val="24"/>
          <w:szCs w:val="24"/>
          <w:lang w:val="es-ES"/>
        </w:rPr>
        <w:t xml:space="preserve">. Si esas garantías no se definen adecuadamente, imponiendo límites claros y definidos a los otros poderes, la independencia judicial se convierte en una palabra, en un discurso ampuloso, sin contenido. </w:t>
      </w:r>
    </w:p>
    <w:p w:rsidR="00E10C89" w:rsidRPr="001A4DC9" w:rsidRDefault="00023318" w:rsidP="00E10C89">
      <w:pPr>
        <w:spacing w:before="4" w:after="240" w:line="360" w:lineRule="auto"/>
        <w:jc w:val="both"/>
        <w:rPr>
          <w:rFonts w:ascii="Arial" w:hAnsi="Arial" w:cs="Arial"/>
          <w:sz w:val="24"/>
          <w:szCs w:val="24"/>
          <w:lang w:val="es-ES"/>
        </w:rPr>
      </w:pPr>
      <w:r w:rsidRPr="001A4DC9">
        <w:rPr>
          <w:rFonts w:ascii="Arial" w:hAnsi="Arial" w:cs="Arial"/>
          <w:sz w:val="24"/>
          <w:szCs w:val="24"/>
          <w:lang w:val="es-ES"/>
        </w:rPr>
        <w:t>La independencia judicial es un principio fundamental de la democracia que asegura la separación de poderes y la existencia de un Estado Constitucional de Derecho, tal y como lo ha indicado en forma reiterada algunas Cortes o Tribunales Constitucionales, así como el Tribunal Europeo y la Corte Interamericana de Derechos Humanos</w:t>
      </w:r>
      <w:r w:rsidR="00206ECF" w:rsidRPr="001A4DC9">
        <w:rPr>
          <w:rStyle w:val="FootnoteReference"/>
          <w:rFonts w:ascii="Arial" w:hAnsi="Arial" w:cs="Arial"/>
          <w:sz w:val="24"/>
          <w:szCs w:val="24"/>
          <w:lang w:val="es-ES"/>
        </w:rPr>
        <w:footnoteReference w:id="6"/>
      </w:r>
      <w:r w:rsidRPr="001A4DC9">
        <w:rPr>
          <w:rFonts w:ascii="Arial" w:hAnsi="Arial" w:cs="Arial"/>
          <w:sz w:val="24"/>
          <w:szCs w:val="24"/>
          <w:lang w:val="es-ES"/>
        </w:rPr>
        <w:t xml:space="preserve">. Pero esas declaraciones abstractas deben traducirse en una fortaleza de la jurisdicción para resistir los embates del poder, sus necesidades y su voluntad de imponerse, a pesar de la judicatura. </w:t>
      </w:r>
    </w:p>
    <w:p w:rsidR="006E7AF7" w:rsidRPr="001A4DC9" w:rsidRDefault="00023318" w:rsidP="00E10C89">
      <w:pPr>
        <w:spacing w:before="4" w:after="240" w:line="360" w:lineRule="auto"/>
        <w:jc w:val="both"/>
        <w:rPr>
          <w:rFonts w:ascii="Arial" w:hAnsi="Arial" w:cs="Arial"/>
          <w:sz w:val="24"/>
          <w:szCs w:val="24"/>
          <w:lang w:val="es-ES"/>
        </w:rPr>
      </w:pPr>
      <w:r w:rsidRPr="001A4DC9">
        <w:rPr>
          <w:rFonts w:ascii="Arial" w:hAnsi="Arial" w:cs="Arial"/>
          <w:sz w:val="24"/>
          <w:szCs w:val="24"/>
          <w:lang w:val="es-ES"/>
        </w:rPr>
        <w:lastRenderedPageBreak/>
        <w:t>El presente año conmemoramos recientemente el 50 aniversario de la promulgación de la Convención Americana sobre Derechos Humanos, comúnmente conocido como el “</w:t>
      </w:r>
      <w:r w:rsidRPr="001A4DC9">
        <w:rPr>
          <w:rFonts w:ascii="Arial" w:hAnsi="Arial" w:cs="Arial"/>
          <w:i/>
          <w:iCs/>
          <w:sz w:val="24"/>
          <w:szCs w:val="24"/>
          <w:lang w:val="es-ES"/>
        </w:rPr>
        <w:t>Pacto de San José</w:t>
      </w:r>
      <w:r w:rsidRPr="001A4DC9">
        <w:rPr>
          <w:rFonts w:ascii="Arial" w:hAnsi="Arial" w:cs="Arial"/>
          <w:sz w:val="24"/>
          <w:szCs w:val="24"/>
          <w:lang w:val="es-ES"/>
        </w:rPr>
        <w:t>”, el cual formalizó las funciones de la Comisión Interamericana de Derechos Humanos y creó la Corte Interamericana de Derechos Humanos órgano jurisdiccional del Sistema Interamericano de Derechos e interprete último de la Convención Americana y demás instrumentos que conforman el parámetro de convencionalidad.</w:t>
      </w:r>
    </w:p>
    <w:p w:rsidR="006E7AF7" w:rsidRPr="001A4DC9" w:rsidRDefault="006E7AF7" w:rsidP="00E10C89">
      <w:pPr>
        <w:spacing w:before="4" w:after="240" w:line="360" w:lineRule="auto"/>
        <w:jc w:val="both"/>
        <w:rPr>
          <w:rFonts w:ascii="Arial" w:hAnsi="Arial" w:cs="Arial"/>
          <w:b/>
          <w:bCs/>
          <w:sz w:val="24"/>
          <w:szCs w:val="24"/>
          <w:lang w:val="es-ES"/>
        </w:rPr>
      </w:pPr>
      <w:r w:rsidRPr="001A4DC9">
        <w:rPr>
          <w:rFonts w:ascii="Arial" w:hAnsi="Arial" w:cs="Arial"/>
          <w:b/>
          <w:bCs/>
          <w:sz w:val="24"/>
          <w:szCs w:val="24"/>
          <w:lang w:val="es-ES"/>
        </w:rPr>
        <w:t>3. La tutela de la independencia judicial en la jurisprudencia de la Corte Interamericana de Derechos Humanos</w:t>
      </w:r>
    </w:p>
    <w:p w:rsidR="00E10C89" w:rsidRPr="001A4DC9" w:rsidRDefault="006E7AF7" w:rsidP="00E10C89">
      <w:pPr>
        <w:spacing w:before="4" w:after="240" w:line="360" w:lineRule="auto"/>
        <w:jc w:val="both"/>
        <w:rPr>
          <w:rFonts w:ascii="Arial" w:hAnsi="Arial" w:cs="Arial"/>
          <w:sz w:val="24"/>
          <w:szCs w:val="24"/>
          <w:lang w:val="es-ES"/>
        </w:rPr>
      </w:pPr>
      <w:r w:rsidRPr="001A4DC9">
        <w:rPr>
          <w:rFonts w:ascii="Arial" w:hAnsi="Arial" w:cs="Arial"/>
          <w:sz w:val="24"/>
          <w:szCs w:val="24"/>
          <w:lang w:val="es-ES"/>
        </w:rPr>
        <w:t xml:space="preserve">La Corte Interamericana de Derechos Humanos en su vasta jurisprudencia ha reconocido la importancia de la independencia judicial como un pilar de la democracia. En tal sentido, ha determinado que “(…) </w:t>
      </w:r>
      <w:r w:rsidRPr="001A4DC9">
        <w:rPr>
          <w:rFonts w:ascii="Arial" w:hAnsi="Arial" w:cs="Arial"/>
          <w:i/>
          <w:iCs/>
          <w:sz w:val="24"/>
          <w:szCs w:val="24"/>
          <w:lang w:val="es-ES"/>
        </w:rPr>
        <w:t>uno de los objetivos principales que tiene la separación de los poderes públicos es la garantía de la independencia de los jueces</w:t>
      </w:r>
      <w:r w:rsidR="004B2806" w:rsidRPr="001A4DC9">
        <w:rPr>
          <w:rFonts w:ascii="Arial" w:hAnsi="Arial" w:cs="Arial"/>
          <w:i/>
          <w:iCs/>
          <w:sz w:val="24"/>
          <w:szCs w:val="24"/>
          <w:lang w:val="es-ES"/>
        </w:rPr>
        <w:t>”</w:t>
      </w:r>
      <w:r w:rsidR="006813F2" w:rsidRPr="001A4DC9">
        <w:rPr>
          <w:rStyle w:val="FootnoteReference"/>
          <w:rFonts w:ascii="Arial" w:hAnsi="Arial" w:cs="Arial"/>
          <w:sz w:val="24"/>
          <w:szCs w:val="24"/>
          <w:lang w:val="es-ES"/>
        </w:rPr>
        <w:footnoteReference w:id="7"/>
      </w:r>
      <w:r w:rsidRPr="001A4DC9">
        <w:rPr>
          <w:rFonts w:ascii="Arial" w:hAnsi="Arial" w:cs="Arial"/>
          <w:sz w:val="24"/>
          <w:szCs w:val="24"/>
          <w:lang w:val="es-ES"/>
        </w:rPr>
        <w:t>.</w:t>
      </w:r>
      <w:r w:rsidRPr="001A4DC9">
        <w:rPr>
          <w:rFonts w:ascii="Arial" w:hAnsi="Arial" w:cs="Arial"/>
          <w:i/>
          <w:iCs/>
          <w:sz w:val="24"/>
          <w:szCs w:val="24"/>
          <w:lang w:val="es-ES"/>
        </w:rPr>
        <w:t xml:space="preserve"> </w:t>
      </w:r>
      <w:r w:rsidR="004B2806" w:rsidRPr="001A4DC9">
        <w:rPr>
          <w:rFonts w:ascii="Arial" w:hAnsi="Arial" w:cs="Arial"/>
          <w:sz w:val="24"/>
          <w:szCs w:val="24"/>
          <w:lang w:val="es-ES"/>
        </w:rPr>
        <w:t>Asimismo ha indicado que “</w:t>
      </w:r>
      <w:r w:rsidRPr="001A4DC9">
        <w:rPr>
          <w:rFonts w:ascii="Arial" w:hAnsi="Arial" w:cs="Arial"/>
          <w:i/>
          <w:iCs/>
          <w:sz w:val="24"/>
          <w:szCs w:val="24"/>
          <w:lang w:val="es-ES"/>
        </w:rPr>
        <w:t>Dicho ejercicio autónomo debe ser garantizado por el Estado tanto en su faceta institucional, esto es, en relación con el Poder Judicial como sistema, así como también en conexión con su vertiente individual, es decir, con relación a la persona del juez específico. El objetivo de la protección radica en evitar que el sistema judicial en general y sus integrantes en particular se vean sometidos a posibles restricciones indebidas en el ejercicio de su función por parte de órganos ajenos al Poder Judicial o incluso por parte de aquellos magistrados que ejercen funciones de revisión o apelación</w:t>
      </w:r>
      <w:r w:rsidRPr="001A4DC9">
        <w:rPr>
          <w:rFonts w:ascii="Arial" w:hAnsi="Arial" w:cs="Arial"/>
          <w:sz w:val="24"/>
          <w:szCs w:val="24"/>
          <w:lang w:val="es-ES"/>
        </w:rPr>
        <w:t xml:space="preserve">. </w:t>
      </w:r>
      <w:r w:rsidRPr="001A4DC9">
        <w:rPr>
          <w:rFonts w:ascii="Arial" w:hAnsi="Arial" w:cs="Arial"/>
          <w:i/>
          <w:iCs/>
          <w:sz w:val="24"/>
          <w:szCs w:val="24"/>
          <w:lang w:val="es-ES"/>
        </w:rPr>
        <w:t>Adicionalmente, el Estado está en el deber de garantizar una apariencia de independencia de la magistratura que inspire legitimidad y confianza suficiente no sólo al justiciable, sino a los ciudadanos en una sociedad democrática</w:t>
      </w:r>
      <w:r w:rsidRPr="001A4DC9">
        <w:rPr>
          <w:rFonts w:ascii="Arial" w:hAnsi="Arial" w:cs="Arial"/>
          <w:sz w:val="24"/>
          <w:szCs w:val="24"/>
          <w:lang w:val="es-ES"/>
        </w:rPr>
        <w:t>”</w:t>
      </w:r>
      <w:r w:rsidR="006813F2" w:rsidRPr="001A4DC9">
        <w:rPr>
          <w:rStyle w:val="FootnoteReference"/>
          <w:rFonts w:ascii="Arial" w:hAnsi="Arial" w:cs="Arial"/>
          <w:sz w:val="24"/>
          <w:szCs w:val="24"/>
          <w:lang w:val="es-ES"/>
        </w:rPr>
        <w:footnoteReference w:id="8"/>
      </w:r>
      <w:r w:rsidRPr="001A4DC9">
        <w:rPr>
          <w:rFonts w:ascii="Arial" w:hAnsi="Arial" w:cs="Arial"/>
          <w:sz w:val="24"/>
          <w:szCs w:val="24"/>
          <w:lang w:val="es-ES"/>
        </w:rPr>
        <w:t xml:space="preserve">. </w:t>
      </w:r>
    </w:p>
    <w:p w:rsidR="006E7AF7" w:rsidRPr="001A4DC9" w:rsidRDefault="006E7AF7" w:rsidP="00E10C89">
      <w:pPr>
        <w:spacing w:before="4" w:after="240" w:line="360" w:lineRule="auto"/>
        <w:jc w:val="both"/>
        <w:rPr>
          <w:rFonts w:ascii="Arial" w:hAnsi="Arial" w:cs="Arial"/>
          <w:sz w:val="24"/>
          <w:szCs w:val="24"/>
          <w:lang w:val="es-ES"/>
        </w:rPr>
      </w:pPr>
      <w:r w:rsidRPr="001A4DC9">
        <w:rPr>
          <w:rFonts w:ascii="Arial" w:hAnsi="Arial" w:cs="Arial"/>
          <w:sz w:val="24"/>
          <w:szCs w:val="24"/>
          <w:lang w:val="es-ES"/>
        </w:rPr>
        <w:lastRenderedPageBreak/>
        <w:t>En este contexto, surgen dos dimensiones de la independencia judicial: la independencia institucional y la individual.</w:t>
      </w:r>
    </w:p>
    <w:p w:rsidR="00E10C89" w:rsidRPr="001A4DC9" w:rsidRDefault="006E7AF7" w:rsidP="00E10C89">
      <w:pPr>
        <w:spacing w:before="4" w:after="240" w:line="360" w:lineRule="auto"/>
        <w:jc w:val="both"/>
        <w:rPr>
          <w:rFonts w:ascii="Arial" w:hAnsi="Arial" w:cs="Arial"/>
          <w:sz w:val="24"/>
          <w:szCs w:val="24"/>
          <w:lang w:val="es-ES"/>
        </w:rPr>
      </w:pPr>
      <w:r w:rsidRPr="001A4DC9">
        <w:rPr>
          <w:rFonts w:ascii="Arial" w:hAnsi="Arial" w:cs="Arial"/>
          <w:sz w:val="24"/>
          <w:szCs w:val="24"/>
          <w:lang w:val="es-ES"/>
        </w:rPr>
        <w:t>La jurisprudencia interamericana ha precisado que la independencia judicial resulta indispensable para la protección de los derechos fundamentales y debe garantizarse incluso en situaciones especiales como “el estado de excepción”</w:t>
      </w:r>
      <w:r w:rsidR="006813F2" w:rsidRPr="001A4DC9">
        <w:rPr>
          <w:rStyle w:val="FootnoteReference"/>
          <w:rFonts w:ascii="Arial" w:hAnsi="Arial" w:cs="Arial"/>
          <w:sz w:val="24"/>
          <w:szCs w:val="24"/>
          <w:lang w:val="es-ES"/>
        </w:rPr>
        <w:footnoteReference w:id="9"/>
      </w:r>
      <w:r w:rsidRPr="001A4DC9">
        <w:rPr>
          <w:rFonts w:ascii="Arial" w:hAnsi="Arial" w:cs="Arial"/>
          <w:sz w:val="24"/>
          <w:szCs w:val="24"/>
          <w:lang w:val="es-ES"/>
        </w:rPr>
        <w:t xml:space="preserve">. Con fundamento en lo anterior, se constituye en uno de los pilares básicos de las garantías del debido proceso y del derecho de defensa, motivo por el cual debe ser respetado en todas las áreas del procedimiento y ante todas las instancias procesales en que se decide sobre los derechos de la persona. </w:t>
      </w:r>
    </w:p>
    <w:p w:rsidR="006E7AF7" w:rsidRPr="001A4DC9" w:rsidRDefault="006E7AF7" w:rsidP="00E10C89">
      <w:pPr>
        <w:spacing w:before="4" w:after="240" w:line="360" w:lineRule="auto"/>
        <w:jc w:val="both"/>
        <w:rPr>
          <w:rFonts w:ascii="Arial" w:hAnsi="Arial" w:cs="Arial"/>
          <w:sz w:val="24"/>
          <w:szCs w:val="24"/>
          <w:lang w:val="es-ES"/>
        </w:rPr>
      </w:pPr>
      <w:r w:rsidRPr="001A4DC9">
        <w:rPr>
          <w:rFonts w:ascii="Arial" w:hAnsi="Arial" w:cs="Arial"/>
          <w:sz w:val="24"/>
          <w:szCs w:val="24"/>
          <w:lang w:val="es-ES"/>
        </w:rPr>
        <w:t>Por otra parte, la Corte Interamericana ha precisado tomando como base la jurisprudencia del Tribunal Europeo de Derechos Humanos que la independencia de cualquier juez supone: 1) que se cuente con un adecuado proceso de nombramiento; 2) con una duración establecida en el cargo; y 3) con una garantía contra presiones externas</w:t>
      </w:r>
      <w:r w:rsidR="006813F2" w:rsidRPr="001A4DC9">
        <w:rPr>
          <w:rStyle w:val="FootnoteReference"/>
          <w:rFonts w:ascii="Arial" w:hAnsi="Arial" w:cs="Arial"/>
          <w:sz w:val="24"/>
          <w:szCs w:val="24"/>
          <w:lang w:val="es-ES"/>
        </w:rPr>
        <w:footnoteReference w:id="10"/>
      </w:r>
      <w:r w:rsidRPr="001A4DC9">
        <w:rPr>
          <w:rFonts w:ascii="Arial" w:hAnsi="Arial" w:cs="Arial"/>
          <w:sz w:val="24"/>
          <w:szCs w:val="24"/>
          <w:lang w:val="es-ES"/>
        </w:rPr>
        <w:t>.</w:t>
      </w:r>
    </w:p>
    <w:p w:rsidR="006E7AF7" w:rsidRPr="001A4DC9" w:rsidRDefault="006E7AF7" w:rsidP="00E10C89">
      <w:pPr>
        <w:spacing w:before="4" w:after="240" w:line="360" w:lineRule="auto"/>
        <w:jc w:val="both"/>
        <w:rPr>
          <w:rFonts w:ascii="Arial" w:hAnsi="Arial" w:cs="Arial"/>
          <w:sz w:val="24"/>
          <w:szCs w:val="24"/>
          <w:lang w:val="es-ES"/>
        </w:rPr>
      </w:pPr>
      <w:r w:rsidRPr="001A4DC9">
        <w:rPr>
          <w:rFonts w:ascii="Arial" w:hAnsi="Arial" w:cs="Arial"/>
          <w:sz w:val="24"/>
          <w:szCs w:val="24"/>
          <w:lang w:val="es-ES"/>
        </w:rPr>
        <w:t>Además, los jueces interamericanos han precisado que la independencia judicial se encuentra estrechamente vinculada a la imparcialidad, la cual exige que el juez que interviene en una contienda particular se aproxime a los hechos de la causa careciendo, de manera subjetiva, de todo prejuicio y, asimismo, ofreciendo garantías suficientes de índole objetiva que permitan desterrar toda duda que el justiciable o la comunidad puedan albergar respecto de la ausencia de imparcialidad</w:t>
      </w:r>
      <w:r w:rsidR="006813F2" w:rsidRPr="001A4DC9">
        <w:rPr>
          <w:rStyle w:val="FootnoteReference"/>
          <w:rFonts w:ascii="Arial" w:hAnsi="Arial" w:cs="Arial"/>
          <w:sz w:val="24"/>
          <w:szCs w:val="24"/>
          <w:lang w:val="es-ES"/>
        </w:rPr>
        <w:footnoteReference w:id="11"/>
      </w:r>
      <w:r w:rsidRPr="001A4DC9">
        <w:rPr>
          <w:rFonts w:ascii="Arial" w:hAnsi="Arial" w:cs="Arial"/>
          <w:sz w:val="24"/>
          <w:szCs w:val="24"/>
          <w:lang w:val="es-ES"/>
        </w:rPr>
        <w:t xml:space="preserve">. </w:t>
      </w:r>
    </w:p>
    <w:p w:rsidR="002D669C" w:rsidRPr="001A4DC9" w:rsidRDefault="002D669C">
      <w:pPr>
        <w:spacing w:after="160" w:line="259" w:lineRule="auto"/>
        <w:rPr>
          <w:rFonts w:ascii="Arial" w:hAnsi="Arial" w:cs="Arial"/>
          <w:b/>
          <w:bCs/>
          <w:sz w:val="24"/>
          <w:szCs w:val="24"/>
          <w:lang w:val="es-ES"/>
        </w:rPr>
      </w:pPr>
      <w:r w:rsidRPr="001A4DC9">
        <w:rPr>
          <w:rFonts w:ascii="Arial" w:hAnsi="Arial" w:cs="Arial"/>
          <w:b/>
          <w:bCs/>
          <w:sz w:val="24"/>
          <w:szCs w:val="24"/>
          <w:lang w:val="es-ES"/>
        </w:rPr>
        <w:br w:type="page"/>
      </w:r>
    </w:p>
    <w:p w:rsidR="006E7AF7" w:rsidRPr="001A4DC9" w:rsidRDefault="006E7AF7" w:rsidP="00E10C89">
      <w:pPr>
        <w:spacing w:before="4" w:after="240" w:line="360" w:lineRule="auto"/>
        <w:jc w:val="both"/>
        <w:rPr>
          <w:rFonts w:ascii="Arial" w:hAnsi="Arial" w:cs="Arial"/>
          <w:b/>
          <w:bCs/>
          <w:sz w:val="24"/>
          <w:szCs w:val="24"/>
          <w:lang w:val="es-ES"/>
        </w:rPr>
      </w:pPr>
      <w:r w:rsidRPr="001A4DC9">
        <w:rPr>
          <w:rFonts w:ascii="Arial" w:hAnsi="Arial" w:cs="Arial"/>
          <w:b/>
          <w:bCs/>
          <w:sz w:val="24"/>
          <w:szCs w:val="24"/>
          <w:lang w:val="es-ES"/>
        </w:rPr>
        <w:lastRenderedPageBreak/>
        <w:t>3.1. Caso Tribunal Constitucional vs. Perú (2001)</w:t>
      </w:r>
    </w:p>
    <w:p w:rsidR="006E7AF7" w:rsidRPr="001A4DC9" w:rsidRDefault="006E7AF7" w:rsidP="00E10C89">
      <w:pPr>
        <w:spacing w:before="4" w:after="240" w:line="360" w:lineRule="auto"/>
        <w:jc w:val="both"/>
        <w:rPr>
          <w:rFonts w:ascii="Arial" w:hAnsi="Arial" w:cs="Arial"/>
          <w:sz w:val="24"/>
          <w:szCs w:val="24"/>
          <w:lang w:val="es-ES"/>
        </w:rPr>
      </w:pPr>
      <w:r w:rsidRPr="001A4DC9">
        <w:rPr>
          <w:rFonts w:ascii="Arial" w:hAnsi="Arial" w:cs="Arial"/>
          <w:sz w:val="24"/>
          <w:szCs w:val="24"/>
          <w:lang w:val="es-ES"/>
        </w:rPr>
        <w:t>La primera sentencia relevante</w:t>
      </w:r>
      <w:r w:rsidR="00F75952" w:rsidRPr="001A4DC9">
        <w:rPr>
          <w:rFonts w:ascii="Arial" w:hAnsi="Arial" w:cs="Arial"/>
          <w:sz w:val="24"/>
          <w:szCs w:val="24"/>
          <w:lang w:val="es-ES"/>
        </w:rPr>
        <w:t xml:space="preserve"> en la temática en análisis</w:t>
      </w:r>
      <w:r w:rsidRPr="001A4DC9">
        <w:rPr>
          <w:rFonts w:ascii="Arial" w:hAnsi="Arial" w:cs="Arial"/>
          <w:sz w:val="24"/>
          <w:szCs w:val="24"/>
          <w:lang w:val="es-ES"/>
        </w:rPr>
        <w:t xml:space="preserve"> es el caso Tribunal Constitucional vs. Perú</w:t>
      </w:r>
      <w:r w:rsidR="00F75952" w:rsidRPr="001A4DC9">
        <w:rPr>
          <w:rStyle w:val="FootnoteReference"/>
          <w:rFonts w:ascii="Arial" w:hAnsi="Arial" w:cs="Arial"/>
          <w:sz w:val="24"/>
          <w:szCs w:val="24"/>
          <w:lang w:val="es-ES"/>
        </w:rPr>
        <w:footnoteReference w:id="12"/>
      </w:r>
      <w:r w:rsidR="00F75952" w:rsidRPr="001A4DC9">
        <w:rPr>
          <w:rFonts w:ascii="Arial" w:hAnsi="Arial" w:cs="Arial"/>
          <w:sz w:val="24"/>
          <w:szCs w:val="24"/>
          <w:lang w:val="es-ES"/>
        </w:rPr>
        <w:t xml:space="preserve"> </w:t>
      </w:r>
      <w:r w:rsidRPr="001A4DC9">
        <w:rPr>
          <w:rFonts w:ascii="Arial" w:hAnsi="Arial" w:cs="Arial"/>
          <w:sz w:val="24"/>
          <w:szCs w:val="24"/>
          <w:lang w:val="es-ES"/>
        </w:rPr>
        <w:t>en donde la Corte Interamericana determinó la responsabilidad internacional del Estado por la destitución de tres jueces del Tribunal Constitucional en un juicio político efectuado por el Congreso sin respetarse las garantías del debido proceso que tutela el artículo 8 de la Convención Americana</w:t>
      </w:r>
      <w:r w:rsidR="00F75952" w:rsidRPr="001A4DC9">
        <w:rPr>
          <w:rFonts w:ascii="Arial" w:hAnsi="Arial" w:cs="Arial"/>
          <w:sz w:val="24"/>
          <w:szCs w:val="24"/>
          <w:lang w:val="es-ES"/>
        </w:rPr>
        <w:t xml:space="preserve"> sobre Derechos Humanos. </w:t>
      </w:r>
      <w:r w:rsidRPr="001A4DC9">
        <w:rPr>
          <w:rFonts w:ascii="Arial" w:hAnsi="Arial" w:cs="Arial"/>
          <w:sz w:val="24"/>
          <w:szCs w:val="24"/>
          <w:lang w:val="es-ES"/>
        </w:rPr>
        <w:t>Sobre este tema, en la motivación de la resolución se indicó:</w:t>
      </w:r>
    </w:p>
    <w:p w:rsidR="006E7AF7" w:rsidRPr="001A4DC9" w:rsidRDefault="006E7AF7" w:rsidP="00E10C89">
      <w:pPr>
        <w:spacing w:before="4" w:after="240" w:line="360" w:lineRule="auto"/>
        <w:ind w:left="1276"/>
        <w:jc w:val="both"/>
        <w:rPr>
          <w:rFonts w:ascii="Arial" w:hAnsi="Arial" w:cs="Arial"/>
          <w:i/>
          <w:sz w:val="24"/>
          <w:szCs w:val="24"/>
          <w:lang w:val="es-ES"/>
        </w:rPr>
      </w:pPr>
      <w:r w:rsidRPr="001A4DC9">
        <w:rPr>
          <w:rFonts w:ascii="Arial" w:hAnsi="Arial" w:cs="Arial"/>
          <w:i/>
          <w:iCs/>
          <w:sz w:val="24"/>
          <w:szCs w:val="24"/>
          <w:lang w:val="es-ES"/>
        </w:rPr>
        <w:t xml:space="preserve">“73. Esta Corte considera que uno de los objetivos principales que tiene la separación de los poderes públicos, es la garantía de la independencia </w:t>
      </w:r>
      <w:r w:rsidR="002D669C" w:rsidRPr="001A4DC9">
        <w:rPr>
          <w:rFonts w:ascii="Arial" w:hAnsi="Arial" w:cs="Arial"/>
          <w:i/>
          <w:iCs/>
          <w:sz w:val="24"/>
          <w:szCs w:val="24"/>
          <w:lang w:val="es-ES"/>
        </w:rPr>
        <w:t>de los</w:t>
      </w:r>
      <w:r w:rsidRPr="001A4DC9">
        <w:rPr>
          <w:rFonts w:ascii="Arial" w:hAnsi="Arial" w:cs="Arial"/>
          <w:i/>
          <w:iCs/>
          <w:sz w:val="24"/>
          <w:szCs w:val="24"/>
          <w:lang w:val="es-ES"/>
        </w:rPr>
        <w:t xml:space="preserve"> jueces y, para tales efectos, los diferentes sistemas políticos han </w:t>
      </w:r>
      <w:r w:rsidR="002D669C" w:rsidRPr="001A4DC9">
        <w:rPr>
          <w:rFonts w:ascii="Arial" w:hAnsi="Arial" w:cs="Arial"/>
          <w:i/>
          <w:iCs/>
          <w:sz w:val="24"/>
          <w:szCs w:val="24"/>
          <w:lang w:val="es-ES"/>
        </w:rPr>
        <w:t>ideado procedimientos</w:t>
      </w:r>
      <w:r w:rsidRPr="001A4DC9">
        <w:rPr>
          <w:rFonts w:ascii="Arial" w:hAnsi="Arial" w:cs="Arial"/>
          <w:i/>
          <w:iCs/>
          <w:sz w:val="24"/>
          <w:szCs w:val="24"/>
          <w:lang w:val="es-ES"/>
        </w:rPr>
        <w:t xml:space="preserve"> estrictos, tanto para su nombramiento como para su destitución.  Los Principios Básicos de las Naciones Unidas Relativos a la Independencia </w:t>
      </w:r>
      <w:r w:rsidR="002D669C" w:rsidRPr="001A4DC9">
        <w:rPr>
          <w:rFonts w:ascii="Arial" w:hAnsi="Arial" w:cs="Arial"/>
          <w:i/>
          <w:iCs/>
          <w:sz w:val="24"/>
          <w:szCs w:val="24"/>
          <w:lang w:val="es-ES"/>
        </w:rPr>
        <w:t>de la</w:t>
      </w:r>
      <w:r w:rsidRPr="001A4DC9">
        <w:rPr>
          <w:rFonts w:ascii="Arial" w:hAnsi="Arial" w:cs="Arial"/>
          <w:i/>
          <w:iCs/>
          <w:sz w:val="24"/>
          <w:szCs w:val="24"/>
          <w:lang w:val="es-ES"/>
        </w:rPr>
        <w:t xml:space="preserve"> Judicatura, establecen que: La independencia de la judicatura </w:t>
      </w:r>
      <w:r w:rsidR="002D669C" w:rsidRPr="001A4DC9">
        <w:rPr>
          <w:rFonts w:ascii="Arial" w:hAnsi="Arial" w:cs="Arial"/>
          <w:i/>
          <w:iCs/>
          <w:sz w:val="24"/>
          <w:szCs w:val="24"/>
          <w:lang w:val="es-ES"/>
        </w:rPr>
        <w:t>será garantizada</w:t>
      </w:r>
      <w:r w:rsidRPr="001A4DC9">
        <w:rPr>
          <w:rFonts w:ascii="Arial" w:hAnsi="Arial" w:cs="Arial"/>
          <w:i/>
          <w:iCs/>
          <w:sz w:val="24"/>
          <w:szCs w:val="24"/>
          <w:lang w:val="es-ES"/>
        </w:rPr>
        <w:t xml:space="preserve"> por el Estado y proclamada por la Constitución o la legislación </w:t>
      </w:r>
      <w:r w:rsidR="002D669C" w:rsidRPr="001A4DC9">
        <w:rPr>
          <w:rFonts w:ascii="Arial" w:hAnsi="Arial" w:cs="Arial"/>
          <w:i/>
          <w:iCs/>
          <w:sz w:val="24"/>
          <w:szCs w:val="24"/>
          <w:lang w:val="es-ES"/>
        </w:rPr>
        <w:t>del país</w:t>
      </w:r>
      <w:r w:rsidRPr="001A4DC9">
        <w:rPr>
          <w:rFonts w:ascii="Arial" w:hAnsi="Arial" w:cs="Arial"/>
          <w:i/>
          <w:iCs/>
          <w:sz w:val="24"/>
          <w:szCs w:val="24"/>
          <w:lang w:val="es-ES"/>
        </w:rPr>
        <w:t xml:space="preserve">. </w:t>
      </w:r>
      <w:r w:rsidRPr="001A4DC9">
        <w:rPr>
          <w:rFonts w:ascii="Arial" w:hAnsi="Arial" w:cs="Arial"/>
          <w:i/>
          <w:iCs/>
          <w:sz w:val="24"/>
          <w:szCs w:val="24"/>
          <w:u w:val="single"/>
          <w:lang w:val="es-ES"/>
        </w:rPr>
        <w:t>Todas las instituciones gubernamentales y de otra índole respetarán y acatarán la independencia de la judicatura</w:t>
      </w:r>
      <w:r w:rsidRPr="001A4DC9">
        <w:rPr>
          <w:rFonts w:ascii="Arial" w:hAnsi="Arial" w:cs="Arial"/>
          <w:i/>
          <w:iCs/>
          <w:sz w:val="24"/>
          <w:szCs w:val="24"/>
          <w:lang w:val="es-ES"/>
        </w:rPr>
        <w:t>.</w:t>
      </w:r>
    </w:p>
    <w:p w:rsidR="006E7AF7" w:rsidRPr="001A4DC9" w:rsidRDefault="006E7AF7" w:rsidP="00E10C89">
      <w:pPr>
        <w:overflowPunct w:val="0"/>
        <w:autoSpaceDE w:val="0"/>
        <w:autoSpaceDN w:val="0"/>
        <w:spacing w:before="4" w:after="240" w:line="360" w:lineRule="auto"/>
        <w:ind w:left="1276"/>
        <w:jc w:val="both"/>
        <w:textAlignment w:val="baseline"/>
        <w:rPr>
          <w:rFonts w:ascii="Arial" w:hAnsi="Arial" w:cs="Arial"/>
          <w:i/>
          <w:iCs/>
          <w:sz w:val="24"/>
          <w:szCs w:val="24"/>
          <w:lang w:val="es-ES"/>
        </w:rPr>
      </w:pPr>
      <w:r w:rsidRPr="001A4DC9">
        <w:rPr>
          <w:rFonts w:ascii="Arial" w:hAnsi="Arial" w:cs="Arial"/>
          <w:i/>
          <w:iCs/>
          <w:sz w:val="24"/>
          <w:szCs w:val="24"/>
          <w:lang w:val="es-ES"/>
        </w:rPr>
        <w:t xml:space="preserve">74. En cuanto a la posibilidad de destitución de los jueces, (…) </w:t>
      </w:r>
      <w:r w:rsidR="002D669C" w:rsidRPr="001A4DC9">
        <w:rPr>
          <w:rFonts w:ascii="Arial" w:hAnsi="Arial" w:cs="Arial"/>
          <w:i/>
          <w:iCs/>
          <w:sz w:val="24"/>
          <w:szCs w:val="24"/>
          <w:lang w:val="es-ES"/>
        </w:rPr>
        <w:t>la autoridad</w:t>
      </w:r>
      <w:r w:rsidRPr="001A4DC9">
        <w:rPr>
          <w:rFonts w:ascii="Arial" w:hAnsi="Arial" w:cs="Arial"/>
          <w:i/>
          <w:iCs/>
          <w:sz w:val="24"/>
          <w:szCs w:val="24"/>
          <w:lang w:val="es-ES"/>
        </w:rPr>
        <w:t xml:space="preserve"> a cargo del proceso de destitución de un juez debe </w:t>
      </w:r>
      <w:r w:rsidR="002D669C" w:rsidRPr="001A4DC9">
        <w:rPr>
          <w:rFonts w:ascii="Arial" w:hAnsi="Arial" w:cs="Arial"/>
          <w:i/>
          <w:iCs/>
          <w:sz w:val="24"/>
          <w:szCs w:val="24"/>
          <w:lang w:val="es-ES"/>
        </w:rPr>
        <w:t>conducirse imparcialmente</w:t>
      </w:r>
      <w:r w:rsidRPr="001A4DC9">
        <w:rPr>
          <w:rFonts w:ascii="Arial" w:hAnsi="Arial" w:cs="Arial"/>
          <w:i/>
          <w:iCs/>
          <w:sz w:val="24"/>
          <w:szCs w:val="24"/>
          <w:lang w:val="es-ES"/>
        </w:rPr>
        <w:t xml:space="preserve"> en el procedimiento establecido para el efecto y permitir </w:t>
      </w:r>
      <w:r w:rsidR="002D669C" w:rsidRPr="001A4DC9">
        <w:rPr>
          <w:rFonts w:ascii="Arial" w:hAnsi="Arial" w:cs="Arial"/>
          <w:i/>
          <w:iCs/>
          <w:sz w:val="24"/>
          <w:szCs w:val="24"/>
          <w:lang w:val="es-ES"/>
        </w:rPr>
        <w:t>el ejercicio</w:t>
      </w:r>
      <w:r w:rsidRPr="001A4DC9">
        <w:rPr>
          <w:rFonts w:ascii="Arial" w:hAnsi="Arial" w:cs="Arial"/>
          <w:i/>
          <w:iCs/>
          <w:sz w:val="24"/>
          <w:szCs w:val="24"/>
          <w:lang w:val="es-ES"/>
        </w:rPr>
        <w:t xml:space="preserve"> del derecho de defensa.</w:t>
      </w:r>
    </w:p>
    <w:p w:rsidR="006E7AF7" w:rsidRPr="001A4DC9" w:rsidRDefault="006E7AF7" w:rsidP="00E10C89">
      <w:pPr>
        <w:overflowPunct w:val="0"/>
        <w:autoSpaceDE w:val="0"/>
        <w:autoSpaceDN w:val="0"/>
        <w:spacing w:before="4" w:after="240" w:line="360" w:lineRule="auto"/>
        <w:ind w:left="1276"/>
        <w:jc w:val="both"/>
        <w:textAlignment w:val="baseline"/>
        <w:rPr>
          <w:rFonts w:ascii="Arial" w:hAnsi="Arial" w:cs="Arial"/>
          <w:i/>
          <w:iCs/>
          <w:sz w:val="24"/>
          <w:szCs w:val="24"/>
          <w:lang w:val="es-ES"/>
        </w:rPr>
      </w:pPr>
      <w:r w:rsidRPr="001A4DC9">
        <w:rPr>
          <w:rFonts w:ascii="Arial" w:hAnsi="Arial" w:cs="Arial"/>
          <w:i/>
          <w:iCs/>
          <w:sz w:val="24"/>
          <w:szCs w:val="24"/>
          <w:lang w:val="es-ES"/>
        </w:rPr>
        <w:t xml:space="preserve">75. Esta Corte considera necesario que se garantice la independencia </w:t>
      </w:r>
      <w:r w:rsidR="002D669C" w:rsidRPr="001A4DC9">
        <w:rPr>
          <w:rFonts w:ascii="Arial" w:hAnsi="Arial" w:cs="Arial"/>
          <w:i/>
          <w:iCs/>
          <w:sz w:val="24"/>
          <w:szCs w:val="24"/>
          <w:lang w:val="es-ES"/>
        </w:rPr>
        <w:t>de cualquier</w:t>
      </w:r>
      <w:r w:rsidRPr="001A4DC9">
        <w:rPr>
          <w:rFonts w:ascii="Arial" w:hAnsi="Arial" w:cs="Arial"/>
          <w:i/>
          <w:iCs/>
          <w:sz w:val="24"/>
          <w:szCs w:val="24"/>
          <w:lang w:val="es-ES"/>
        </w:rPr>
        <w:t xml:space="preserve"> juez en un Estado de Derecho y, en especial, la del </w:t>
      </w:r>
      <w:r w:rsidR="00E10C89" w:rsidRPr="001A4DC9">
        <w:rPr>
          <w:rFonts w:ascii="Arial" w:hAnsi="Arial" w:cs="Arial"/>
          <w:i/>
          <w:iCs/>
          <w:sz w:val="24"/>
          <w:szCs w:val="24"/>
          <w:lang w:val="es-ES"/>
        </w:rPr>
        <w:lastRenderedPageBreak/>
        <w:t>juez constitucional</w:t>
      </w:r>
      <w:r w:rsidRPr="001A4DC9">
        <w:rPr>
          <w:rFonts w:ascii="Arial" w:hAnsi="Arial" w:cs="Arial"/>
          <w:i/>
          <w:iCs/>
          <w:sz w:val="24"/>
          <w:szCs w:val="24"/>
          <w:lang w:val="es-ES"/>
        </w:rPr>
        <w:t xml:space="preserve"> en razón de la naturaleza de los asuntos sometidos a </w:t>
      </w:r>
      <w:r w:rsidR="002D669C" w:rsidRPr="001A4DC9">
        <w:rPr>
          <w:rFonts w:ascii="Arial" w:hAnsi="Arial" w:cs="Arial"/>
          <w:i/>
          <w:iCs/>
          <w:sz w:val="24"/>
          <w:szCs w:val="24"/>
          <w:lang w:val="es-ES"/>
        </w:rPr>
        <w:t>su conocimiento</w:t>
      </w:r>
      <w:r w:rsidRPr="001A4DC9">
        <w:rPr>
          <w:rFonts w:ascii="Arial" w:hAnsi="Arial" w:cs="Arial"/>
          <w:i/>
          <w:iCs/>
          <w:sz w:val="24"/>
          <w:szCs w:val="24"/>
          <w:lang w:val="es-ES"/>
        </w:rPr>
        <w:t>. (…)</w:t>
      </w:r>
    </w:p>
    <w:p w:rsidR="006E7AF7" w:rsidRPr="001A4DC9" w:rsidRDefault="006E7AF7" w:rsidP="00E10C89">
      <w:pPr>
        <w:overflowPunct w:val="0"/>
        <w:autoSpaceDE w:val="0"/>
        <w:autoSpaceDN w:val="0"/>
        <w:spacing w:before="4" w:after="240" w:line="360" w:lineRule="auto"/>
        <w:ind w:left="1276"/>
        <w:jc w:val="both"/>
        <w:textAlignment w:val="baseline"/>
        <w:rPr>
          <w:rFonts w:ascii="Arial" w:hAnsi="Arial" w:cs="Arial"/>
          <w:i/>
          <w:iCs/>
          <w:sz w:val="24"/>
          <w:szCs w:val="24"/>
          <w:lang w:val="es-ES"/>
        </w:rPr>
      </w:pPr>
      <w:r w:rsidRPr="001A4DC9">
        <w:rPr>
          <w:rFonts w:ascii="Arial" w:hAnsi="Arial" w:cs="Arial"/>
          <w:i/>
          <w:iCs/>
          <w:sz w:val="24"/>
          <w:szCs w:val="24"/>
          <w:lang w:val="es-ES"/>
        </w:rPr>
        <w:t>77. En cuanto al ejercicio de las atribuciones del Congreso para llevar  a cabo un juicio político, del que derivará la responsabilidad de un  funcionario público, la Corte estima necesario recordar que toda persona sujeta  a juicio de cualquier naturaleza ante un órgano del Estado deberá contar con la  garantía de que dicho órgano sea competente,   independiente e imparcial y actúe en los términos del procedimiento  legalmente previsto para el conocimiento y la resolución del caso que se le  somete. (…)</w:t>
      </w:r>
    </w:p>
    <w:p w:rsidR="006E7AF7" w:rsidRPr="001A4DC9" w:rsidRDefault="006E7AF7" w:rsidP="00E10C89">
      <w:pPr>
        <w:overflowPunct w:val="0"/>
        <w:autoSpaceDE w:val="0"/>
        <w:autoSpaceDN w:val="0"/>
        <w:spacing w:before="4" w:after="240" w:line="360" w:lineRule="auto"/>
        <w:ind w:left="1276"/>
        <w:jc w:val="both"/>
        <w:textAlignment w:val="baseline"/>
        <w:rPr>
          <w:rFonts w:ascii="Arial" w:hAnsi="Arial" w:cs="Arial"/>
          <w:i/>
          <w:iCs/>
          <w:sz w:val="24"/>
          <w:szCs w:val="24"/>
          <w:lang w:val="es-ES"/>
        </w:rPr>
      </w:pPr>
      <w:r w:rsidRPr="001A4DC9">
        <w:rPr>
          <w:rFonts w:ascii="Arial" w:hAnsi="Arial" w:cs="Arial"/>
          <w:i/>
          <w:iCs/>
          <w:sz w:val="24"/>
          <w:szCs w:val="24"/>
          <w:lang w:val="es-ES"/>
        </w:rPr>
        <w:t xml:space="preserve">81. Este Tribunal ha señalado que las </w:t>
      </w:r>
      <w:r w:rsidR="00E10C89" w:rsidRPr="001A4DC9">
        <w:rPr>
          <w:rFonts w:ascii="Arial" w:hAnsi="Arial" w:cs="Arial"/>
          <w:i/>
          <w:iCs/>
          <w:sz w:val="24"/>
          <w:szCs w:val="24"/>
          <w:lang w:val="es-ES"/>
        </w:rPr>
        <w:t>garantías establecidas</w:t>
      </w:r>
      <w:r w:rsidRPr="001A4DC9">
        <w:rPr>
          <w:rFonts w:ascii="Arial" w:hAnsi="Arial" w:cs="Arial"/>
          <w:i/>
          <w:iCs/>
          <w:sz w:val="24"/>
          <w:szCs w:val="24"/>
          <w:lang w:val="es-ES"/>
        </w:rPr>
        <w:t xml:space="preserve"> en el artículo 8 de la Convención Americana suponen que </w:t>
      </w:r>
      <w:r w:rsidR="00E10C89" w:rsidRPr="001A4DC9">
        <w:rPr>
          <w:rFonts w:ascii="Arial" w:hAnsi="Arial" w:cs="Arial"/>
          <w:i/>
          <w:iCs/>
          <w:sz w:val="24"/>
          <w:szCs w:val="24"/>
          <w:lang w:val="es-ES"/>
        </w:rPr>
        <w:t>las víctimas</w:t>
      </w:r>
      <w:r w:rsidRPr="001A4DC9">
        <w:rPr>
          <w:rFonts w:ascii="Arial" w:hAnsi="Arial" w:cs="Arial"/>
          <w:i/>
          <w:iCs/>
          <w:sz w:val="24"/>
          <w:szCs w:val="24"/>
          <w:lang w:val="es-ES"/>
        </w:rPr>
        <w:t xml:space="preserve"> deben contar con amplias posibilidades de ser oídas y actuar en </w:t>
      </w:r>
      <w:r w:rsidR="00E10C89" w:rsidRPr="001A4DC9">
        <w:rPr>
          <w:rFonts w:ascii="Arial" w:hAnsi="Arial" w:cs="Arial"/>
          <w:i/>
          <w:iCs/>
          <w:sz w:val="24"/>
          <w:szCs w:val="24"/>
          <w:lang w:val="es-ES"/>
        </w:rPr>
        <w:t>los procesos</w:t>
      </w:r>
      <w:r w:rsidRPr="001A4DC9">
        <w:rPr>
          <w:rFonts w:ascii="Arial" w:hAnsi="Arial" w:cs="Arial"/>
          <w:i/>
          <w:iCs/>
          <w:sz w:val="24"/>
          <w:szCs w:val="24"/>
          <w:lang w:val="es-ES"/>
        </w:rPr>
        <w:t xml:space="preserve"> respectivos. En el caso </w:t>
      </w:r>
      <w:r w:rsidR="00E10C89" w:rsidRPr="001A4DC9">
        <w:rPr>
          <w:rFonts w:ascii="Arial" w:hAnsi="Arial" w:cs="Arial"/>
          <w:i/>
          <w:iCs/>
          <w:sz w:val="24"/>
          <w:szCs w:val="24"/>
          <w:lang w:val="es-ES"/>
        </w:rPr>
        <w:t>sub judice</w:t>
      </w:r>
      <w:r w:rsidRPr="001A4DC9">
        <w:rPr>
          <w:rFonts w:ascii="Arial" w:hAnsi="Arial" w:cs="Arial"/>
          <w:i/>
          <w:iCs/>
          <w:sz w:val="24"/>
          <w:szCs w:val="24"/>
          <w:lang w:val="es-ES"/>
        </w:rPr>
        <w:t xml:space="preserve"> (…) los magistrados [no] contar[on] con un proceso que reuniera </w:t>
      </w:r>
      <w:r w:rsidR="00E10C89" w:rsidRPr="001A4DC9">
        <w:rPr>
          <w:rFonts w:ascii="Arial" w:hAnsi="Arial" w:cs="Arial"/>
          <w:i/>
          <w:iCs/>
          <w:sz w:val="24"/>
          <w:szCs w:val="24"/>
          <w:lang w:val="es-ES"/>
        </w:rPr>
        <w:t>las garantías</w:t>
      </w:r>
      <w:r w:rsidRPr="001A4DC9">
        <w:rPr>
          <w:rFonts w:ascii="Arial" w:hAnsi="Arial" w:cs="Arial"/>
          <w:i/>
          <w:iCs/>
          <w:sz w:val="24"/>
          <w:szCs w:val="24"/>
          <w:lang w:val="es-ES"/>
        </w:rPr>
        <w:t xml:space="preserve"> mínimas del debido proceso establecidas en la Convención. Con ello </w:t>
      </w:r>
      <w:r w:rsidR="00E10C89" w:rsidRPr="001A4DC9">
        <w:rPr>
          <w:rFonts w:ascii="Arial" w:hAnsi="Arial" w:cs="Arial"/>
          <w:i/>
          <w:iCs/>
          <w:sz w:val="24"/>
          <w:szCs w:val="24"/>
          <w:lang w:val="es-ES"/>
        </w:rPr>
        <w:t>en el</w:t>
      </w:r>
      <w:r w:rsidRPr="001A4DC9">
        <w:rPr>
          <w:rFonts w:ascii="Arial" w:hAnsi="Arial" w:cs="Arial"/>
          <w:i/>
          <w:iCs/>
          <w:sz w:val="24"/>
          <w:szCs w:val="24"/>
          <w:lang w:val="es-ES"/>
        </w:rPr>
        <w:t xml:space="preserve"> caso en estudio se limitó el derecho de las víctimas a ser oídas por </w:t>
      </w:r>
      <w:r w:rsidR="00E10C89" w:rsidRPr="001A4DC9">
        <w:rPr>
          <w:rFonts w:ascii="Arial" w:hAnsi="Arial" w:cs="Arial"/>
          <w:i/>
          <w:iCs/>
          <w:sz w:val="24"/>
          <w:szCs w:val="24"/>
          <w:lang w:val="es-ES"/>
        </w:rPr>
        <w:t>el órgano</w:t>
      </w:r>
      <w:r w:rsidRPr="001A4DC9">
        <w:rPr>
          <w:rFonts w:ascii="Arial" w:hAnsi="Arial" w:cs="Arial"/>
          <w:i/>
          <w:iCs/>
          <w:sz w:val="24"/>
          <w:szCs w:val="24"/>
          <w:lang w:val="es-ES"/>
        </w:rPr>
        <w:t xml:space="preserve"> que emitió la decisión y, además, se restringió su derecho a </w:t>
      </w:r>
      <w:r w:rsidR="00E10C89" w:rsidRPr="001A4DC9">
        <w:rPr>
          <w:rFonts w:ascii="Arial" w:hAnsi="Arial" w:cs="Arial"/>
          <w:i/>
          <w:iCs/>
          <w:sz w:val="24"/>
          <w:szCs w:val="24"/>
          <w:lang w:val="es-ES"/>
        </w:rPr>
        <w:t>participar en</w:t>
      </w:r>
      <w:r w:rsidRPr="001A4DC9">
        <w:rPr>
          <w:rFonts w:ascii="Arial" w:hAnsi="Arial" w:cs="Arial"/>
          <w:i/>
          <w:iCs/>
          <w:sz w:val="24"/>
          <w:szCs w:val="24"/>
          <w:lang w:val="es-ES"/>
        </w:rPr>
        <w:t xml:space="preserve"> el proceso. (…)</w:t>
      </w:r>
    </w:p>
    <w:p w:rsidR="006E7AF7" w:rsidRPr="001A4DC9" w:rsidRDefault="006E7AF7" w:rsidP="00E10C89">
      <w:pPr>
        <w:overflowPunct w:val="0"/>
        <w:autoSpaceDE w:val="0"/>
        <w:autoSpaceDN w:val="0"/>
        <w:spacing w:before="4" w:after="240" w:line="360" w:lineRule="auto"/>
        <w:ind w:left="1276"/>
        <w:jc w:val="both"/>
        <w:textAlignment w:val="baseline"/>
        <w:rPr>
          <w:rFonts w:ascii="Arial" w:hAnsi="Arial" w:cs="Arial"/>
          <w:i/>
          <w:sz w:val="24"/>
          <w:szCs w:val="24"/>
          <w:lang w:val="es-ES"/>
        </w:rPr>
      </w:pPr>
      <w:r w:rsidRPr="001A4DC9">
        <w:rPr>
          <w:rFonts w:ascii="Arial" w:hAnsi="Arial" w:cs="Arial"/>
          <w:i/>
          <w:iCs/>
          <w:sz w:val="24"/>
          <w:szCs w:val="24"/>
          <w:lang w:val="es-ES"/>
        </w:rPr>
        <w:t xml:space="preserve">84. De conformidad con los criterios establecidos por este Tribunal, es evidente que el procedimiento de juicio político al cual fueron sometidos </w:t>
      </w:r>
      <w:r w:rsidR="00E10C89" w:rsidRPr="001A4DC9">
        <w:rPr>
          <w:rFonts w:ascii="Arial" w:hAnsi="Arial" w:cs="Arial"/>
          <w:i/>
          <w:iCs/>
          <w:sz w:val="24"/>
          <w:szCs w:val="24"/>
          <w:lang w:val="es-ES"/>
        </w:rPr>
        <w:t>los magistrados</w:t>
      </w:r>
      <w:r w:rsidRPr="001A4DC9">
        <w:rPr>
          <w:rFonts w:ascii="Arial" w:hAnsi="Arial" w:cs="Arial"/>
          <w:i/>
          <w:iCs/>
          <w:sz w:val="24"/>
          <w:szCs w:val="24"/>
          <w:lang w:val="es-ES"/>
        </w:rPr>
        <w:t xml:space="preserve"> destituidos no aseguró a éstos las garantías del debido </w:t>
      </w:r>
      <w:r w:rsidR="00E10C89" w:rsidRPr="001A4DC9">
        <w:rPr>
          <w:rFonts w:ascii="Arial" w:hAnsi="Arial" w:cs="Arial"/>
          <w:i/>
          <w:iCs/>
          <w:sz w:val="24"/>
          <w:szCs w:val="24"/>
          <w:lang w:val="es-ES"/>
        </w:rPr>
        <w:t>proceso legal</w:t>
      </w:r>
      <w:r w:rsidRPr="001A4DC9">
        <w:rPr>
          <w:rFonts w:ascii="Arial" w:hAnsi="Arial" w:cs="Arial"/>
          <w:i/>
          <w:iCs/>
          <w:sz w:val="24"/>
          <w:szCs w:val="24"/>
          <w:lang w:val="es-ES"/>
        </w:rPr>
        <w:t xml:space="preserve"> y no se cumplió con el requisito de la imparcialidad del juzgador.  Además, la Corte observa que, en las circunstancias del caso concreto, el Poder Legislativo no reunió las condiciones necesarias de </w:t>
      </w:r>
      <w:r w:rsidRPr="001A4DC9">
        <w:rPr>
          <w:rFonts w:ascii="Arial" w:hAnsi="Arial" w:cs="Arial"/>
          <w:i/>
          <w:iCs/>
          <w:sz w:val="24"/>
          <w:szCs w:val="24"/>
          <w:lang w:val="es-ES"/>
        </w:rPr>
        <w:lastRenderedPageBreak/>
        <w:t>independencia e  imparcialidad para realizar el juicio político contra los tres magistrados del  Tribunal Constitucional”.</w:t>
      </w:r>
      <w:r w:rsidR="00F75952" w:rsidRPr="001A4DC9">
        <w:rPr>
          <w:rStyle w:val="FootnoteReference"/>
          <w:rFonts w:ascii="Arial" w:hAnsi="Arial" w:cs="Arial"/>
          <w:i/>
          <w:iCs/>
          <w:sz w:val="24"/>
          <w:szCs w:val="24"/>
          <w:lang w:val="es-ES"/>
        </w:rPr>
        <w:footnoteReference w:id="13"/>
      </w:r>
    </w:p>
    <w:p w:rsidR="006E7AF7" w:rsidRPr="001A4DC9" w:rsidRDefault="006E7AF7" w:rsidP="00E10C89">
      <w:pPr>
        <w:spacing w:before="4" w:after="240" w:line="360" w:lineRule="auto"/>
        <w:jc w:val="both"/>
        <w:rPr>
          <w:rFonts w:ascii="Arial" w:hAnsi="Arial" w:cs="Arial"/>
          <w:sz w:val="24"/>
          <w:szCs w:val="24"/>
          <w:lang w:val="es-ES"/>
        </w:rPr>
      </w:pPr>
      <w:r w:rsidRPr="001A4DC9">
        <w:rPr>
          <w:rFonts w:ascii="Arial" w:hAnsi="Arial" w:cs="Arial"/>
          <w:sz w:val="24"/>
          <w:szCs w:val="24"/>
          <w:lang w:val="es-ES"/>
        </w:rPr>
        <w:t>Además, en el caso comentado se acreditó una vulneración a lo dispuesto en el artículo 25 de la Convención Americana que tutela la protección judicial. Al respecto, se indicó:</w:t>
      </w:r>
    </w:p>
    <w:p w:rsidR="00F75952" w:rsidRPr="001A4DC9" w:rsidRDefault="006E7AF7" w:rsidP="00E10C89">
      <w:pPr>
        <w:overflowPunct w:val="0"/>
        <w:autoSpaceDE w:val="0"/>
        <w:autoSpaceDN w:val="0"/>
        <w:spacing w:before="4" w:after="240" w:line="360" w:lineRule="auto"/>
        <w:ind w:left="1276"/>
        <w:jc w:val="both"/>
        <w:textAlignment w:val="baseline"/>
        <w:rPr>
          <w:rFonts w:ascii="Arial" w:hAnsi="Arial" w:cs="Arial"/>
          <w:i/>
          <w:iCs/>
          <w:sz w:val="24"/>
          <w:szCs w:val="24"/>
          <w:lang w:val="es-ES"/>
        </w:rPr>
      </w:pPr>
      <w:r w:rsidRPr="001A4DC9">
        <w:rPr>
          <w:rFonts w:ascii="Arial" w:hAnsi="Arial" w:cs="Arial"/>
          <w:i/>
          <w:iCs/>
          <w:sz w:val="24"/>
          <w:szCs w:val="24"/>
          <w:lang w:val="es-ES"/>
        </w:rPr>
        <w:t>“96. Dadas las consecuencias del presente caso, la Corte estima que el fracaso de los recursos interpuestos contr</w:t>
      </w:r>
      <w:r w:rsidR="00490D86" w:rsidRPr="001A4DC9">
        <w:rPr>
          <w:rFonts w:ascii="Arial" w:hAnsi="Arial" w:cs="Arial"/>
          <w:i/>
          <w:iCs/>
          <w:sz w:val="24"/>
          <w:szCs w:val="24"/>
          <w:lang w:val="es-ES"/>
        </w:rPr>
        <w:t>a la decisión del Congreso que </w:t>
      </w:r>
      <w:r w:rsidRPr="001A4DC9">
        <w:rPr>
          <w:rFonts w:ascii="Arial" w:hAnsi="Arial" w:cs="Arial"/>
          <w:i/>
          <w:iCs/>
          <w:sz w:val="24"/>
          <w:szCs w:val="24"/>
          <w:lang w:val="es-ES"/>
        </w:rPr>
        <w:t>destituyó a los magistrados del Tribunal Constitucional se debe a apreciaciones no estrictamente jurídicas. Está probado que quienes integraron el Tribunal Constitucional y conocieron el amparo de los magistrados destituidos, fueron las mismas personas que participaron o se vieron in</w:t>
      </w:r>
      <w:r w:rsidR="00490D86" w:rsidRPr="001A4DC9">
        <w:rPr>
          <w:rFonts w:ascii="Arial" w:hAnsi="Arial" w:cs="Arial"/>
          <w:i/>
          <w:iCs/>
          <w:sz w:val="24"/>
          <w:szCs w:val="24"/>
          <w:lang w:val="es-ES"/>
        </w:rPr>
        <w:t>volucradas en el procedimiento </w:t>
      </w:r>
      <w:r w:rsidRPr="001A4DC9">
        <w:rPr>
          <w:rFonts w:ascii="Arial" w:hAnsi="Arial" w:cs="Arial"/>
          <w:i/>
          <w:iCs/>
          <w:sz w:val="24"/>
          <w:szCs w:val="24"/>
          <w:lang w:val="es-ES"/>
        </w:rPr>
        <w:t>de acusación constitucional en el Congreso. En razón de lo anterior, de conformidad con los criterios y exigenci</w:t>
      </w:r>
      <w:r w:rsidR="002D669C" w:rsidRPr="001A4DC9">
        <w:rPr>
          <w:rFonts w:ascii="Arial" w:hAnsi="Arial" w:cs="Arial"/>
          <w:i/>
          <w:iCs/>
          <w:sz w:val="24"/>
          <w:szCs w:val="24"/>
          <w:lang w:val="es-ES"/>
        </w:rPr>
        <w:t>as esgrimidas por este Tribunal</w:t>
      </w:r>
      <w:r w:rsidRPr="001A4DC9">
        <w:rPr>
          <w:rFonts w:ascii="Arial" w:hAnsi="Arial" w:cs="Arial"/>
          <w:i/>
          <w:iCs/>
          <w:sz w:val="24"/>
          <w:szCs w:val="24"/>
          <w:lang w:val="es-ES"/>
        </w:rPr>
        <w:t xml:space="preserve"> sobre la im</w:t>
      </w:r>
      <w:r w:rsidR="00490D86" w:rsidRPr="001A4DC9">
        <w:rPr>
          <w:rFonts w:ascii="Arial" w:hAnsi="Arial" w:cs="Arial"/>
          <w:i/>
          <w:iCs/>
          <w:sz w:val="24"/>
          <w:szCs w:val="24"/>
          <w:lang w:val="es-ES"/>
        </w:rPr>
        <w:t>parcialidad del juez (…), puede</w:t>
      </w:r>
      <w:r w:rsidRPr="001A4DC9">
        <w:rPr>
          <w:rFonts w:ascii="Arial" w:hAnsi="Arial" w:cs="Arial"/>
          <w:i/>
          <w:iCs/>
          <w:sz w:val="24"/>
          <w:szCs w:val="24"/>
          <w:lang w:val="es-ES"/>
        </w:rPr>
        <w:t xml:space="preserve"> afirmarse que en la decisión de los amparos en el caso en análisis no se  reunieron las exigencias de imparcialidad por parte del Tribunal que conoció  los citados amparos. Por lo tanto, los recursos intentados por las supuestas  víctimas no eran capaces de producir el resultado para el que habían sido  concebidos y estaban condenados al fracaso, como en la práctica sucedió”</w:t>
      </w:r>
      <w:r w:rsidR="00F75952" w:rsidRPr="001A4DC9">
        <w:rPr>
          <w:rStyle w:val="FootnoteReference"/>
          <w:rFonts w:ascii="Arial" w:hAnsi="Arial" w:cs="Arial"/>
          <w:i/>
          <w:iCs/>
          <w:sz w:val="24"/>
          <w:szCs w:val="24"/>
          <w:lang w:val="es-ES"/>
        </w:rPr>
        <w:footnoteReference w:id="14"/>
      </w:r>
      <w:r w:rsidRPr="001A4DC9">
        <w:rPr>
          <w:rFonts w:ascii="Arial" w:hAnsi="Arial" w:cs="Arial"/>
          <w:i/>
          <w:iCs/>
          <w:sz w:val="24"/>
          <w:szCs w:val="24"/>
          <w:lang w:val="es-ES"/>
        </w:rPr>
        <w:t>.</w:t>
      </w:r>
    </w:p>
    <w:p w:rsidR="00E10C89" w:rsidRPr="001A4DC9" w:rsidRDefault="006E7AF7" w:rsidP="00E10C89">
      <w:pPr>
        <w:spacing w:before="4" w:after="240" w:line="360" w:lineRule="auto"/>
        <w:jc w:val="both"/>
        <w:rPr>
          <w:rFonts w:ascii="Arial" w:hAnsi="Arial" w:cs="Arial"/>
          <w:b/>
          <w:bCs/>
          <w:sz w:val="24"/>
          <w:szCs w:val="24"/>
          <w:lang w:val="es-ES"/>
        </w:rPr>
      </w:pPr>
      <w:r w:rsidRPr="001A4DC9">
        <w:rPr>
          <w:rFonts w:ascii="Arial" w:hAnsi="Arial" w:cs="Arial"/>
          <w:b/>
          <w:bCs/>
          <w:sz w:val="24"/>
          <w:szCs w:val="24"/>
          <w:lang w:val="es-ES"/>
        </w:rPr>
        <w:t>3.2. Caso Apitz Barnera y otros vs. Venezuela (2008)</w:t>
      </w:r>
    </w:p>
    <w:p w:rsidR="008E540A" w:rsidRPr="001A4DC9" w:rsidRDefault="00F75952" w:rsidP="00E10C89">
      <w:pPr>
        <w:spacing w:before="4" w:after="240" w:line="360" w:lineRule="auto"/>
        <w:jc w:val="both"/>
        <w:rPr>
          <w:rFonts w:ascii="Arial" w:hAnsi="Arial" w:cs="Arial"/>
          <w:b/>
          <w:bCs/>
          <w:sz w:val="24"/>
          <w:szCs w:val="24"/>
          <w:lang w:val="es-ES"/>
        </w:rPr>
      </w:pPr>
      <w:r w:rsidRPr="001A4DC9">
        <w:rPr>
          <w:rFonts w:ascii="Arial" w:hAnsi="Arial" w:cs="Arial"/>
          <w:sz w:val="24"/>
          <w:szCs w:val="24"/>
          <w:lang w:val="es-ES"/>
        </w:rPr>
        <w:t xml:space="preserve">En el presente caso, </w:t>
      </w:r>
      <w:r w:rsidR="008E540A" w:rsidRPr="001A4DC9">
        <w:rPr>
          <w:rFonts w:ascii="Arial" w:hAnsi="Arial" w:cs="Arial"/>
          <w:sz w:val="24"/>
          <w:szCs w:val="24"/>
          <w:lang w:val="es-ES"/>
        </w:rPr>
        <w:t xml:space="preserve">la Corte Interamericana acreditó la responsabilidad internacional del Estado por la destitución de los jueces de la Corte Primera de lo Contencioso </w:t>
      </w:r>
      <w:r w:rsidR="008E540A" w:rsidRPr="001A4DC9">
        <w:rPr>
          <w:rFonts w:ascii="Arial" w:hAnsi="Arial" w:cs="Arial"/>
          <w:sz w:val="24"/>
          <w:szCs w:val="24"/>
          <w:lang w:val="es-ES"/>
        </w:rPr>
        <w:lastRenderedPageBreak/>
        <w:t>Administrativo sin un debido proceso</w:t>
      </w:r>
      <w:r w:rsidRPr="001A4DC9">
        <w:rPr>
          <w:rStyle w:val="FootnoteReference"/>
          <w:rFonts w:ascii="Arial" w:hAnsi="Arial" w:cs="Arial"/>
          <w:sz w:val="24"/>
          <w:szCs w:val="24"/>
          <w:lang w:val="es-ES"/>
        </w:rPr>
        <w:footnoteReference w:id="15"/>
      </w:r>
      <w:r w:rsidR="008E540A" w:rsidRPr="001A4DC9">
        <w:rPr>
          <w:rFonts w:ascii="Arial" w:hAnsi="Arial" w:cs="Arial"/>
          <w:sz w:val="24"/>
          <w:szCs w:val="24"/>
          <w:lang w:val="es-ES"/>
        </w:rPr>
        <w:t>. En particular se determinó que los recurrentes fueron destituidos por la presunta comisión de un error judicial inexcusable, motivo por el cual interpusieron una serie de recursos a fin de cuestionar dicha medida, sin embargo, todos fueron rechazados.</w:t>
      </w:r>
      <w:r w:rsidRPr="001A4DC9">
        <w:rPr>
          <w:rFonts w:ascii="Arial" w:hAnsi="Arial" w:cs="Arial"/>
          <w:sz w:val="24"/>
          <w:szCs w:val="24"/>
          <w:lang w:val="es-ES"/>
        </w:rPr>
        <w:t xml:space="preserve"> </w:t>
      </w:r>
      <w:r w:rsidR="008E540A" w:rsidRPr="001A4DC9">
        <w:rPr>
          <w:rFonts w:ascii="Arial" w:hAnsi="Arial" w:cs="Arial"/>
          <w:sz w:val="24"/>
          <w:szCs w:val="24"/>
          <w:lang w:val="es-ES"/>
        </w:rPr>
        <w:t>En la sentencia</w:t>
      </w:r>
      <w:r w:rsidRPr="001A4DC9">
        <w:rPr>
          <w:rFonts w:ascii="Arial" w:hAnsi="Arial" w:cs="Arial"/>
          <w:sz w:val="24"/>
          <w:szCs w:val="24"/>
          <w:lang w:val="es-ES"/>
        </w:rPr>
        <w:t xml:space="preserve"> se </w:t>
      </w:r>
      <w:r w:rsidR="008E540A" w:rsidRPr="001A4DC9">
        <w:rPr>
          <w:rFonts w:ascii="Arial" w:hAnsi="Arial" w:cs="Arial"/>
          <w:sz w:val="24"/>
          <w:szCs w:val="24"/>
          <w:lang w:val="es-ES"/>
        </w:rPr>
        <w:t>indic</w:t>
      </w:r>
      <w:r w:rsidRPr="001A4DC9">
        <w:rPr>
          <w:rFonts w:ascii="Arial" w:hAnsi="Arial" w:cs="Arial"/>
          <w:sz w:val="24"/>
          <w:szCs w:val="24"/>
          <w:lang w:val="es-ES"/>
        </w:rPr>
        <w:t>ó</w:t>
      </w:r>
      <w:r w:rsidR="008E540A" w:rsidRPr="001A4DC9">
        <w:rPr>
          <w:rFonts w:ascii="Arial" w:hAnsi="Arial" w:cs="Arial"/>
          <w:sz w:val="24"/>
          <w:szCs w:val="24"/>
          <w:lang w:val="es-ES"/>
        </w:rPr>
        <w:t xml:space="preserve"> que</w:t>
      </w:r>
      <w:r w:rsidRPr="001A4DC9">
        <w:rPr>
          <w:rFonts w:ascii="Arial" w:hAnsi="Arial" w:cs="Arial"/>
          <w:sz w:val="24"/>
          <w:szCs w:val="24"/>
          <w:lang w:val="es-ES"/>
        </w:rPr>
        <w:t xml:space="preserve"> los</w:t>
      </w:r>
      <w:r w:rsidR="008E540A" w:rsidRPr="001A4DC9">
        <w:rPr>
          <w:rFonts w:ascii="Arial" w:hAnsi="Arial" w:cs="Arial"/>
          <w:sz w:val="24"/>
          <w:szCs w:val="24"/>
          <w:lang w:val="es-ES"/>
        </w:rPr>
        <w:t xml:space="preserve"> </w:t>
      </w:r>
      <w:r w:rsidRPr="001A4DC9">
        <w:rPr>
          <w:rFonts w:ascii="Arial" w:hAnsi="Arial" w:cs="Arial"/>
          <w:sz w:val="24"/>
          <w:szCs w:val="24"/>
          <w:lang w:val="es-ES"/>
        </w:rPr>
        <w:t xml:space="preserve">Estados deben garantizar que los jueces provisorios sean independientes y </w:t>
      </w:r>
      <w:r w:rsidR="008E540A" w:rsidRPr="001A4DC9">
        <w:rPr>
          <w:rFonts w:ascii="Arial" w:hAnsi="Arial" w:cs="Arial"/>
          <w:sz w:val="24"/>
          <w:szCs w:val="24"/>
          <w:lang w:val="es-ES"/>
        </w:rPr>
        <w:t>se les</w:t>
      </w:r>
      <w:r w:rsidRPr="001A4DC9">
        <w:rPr>
          <w:rFonts w:ascii="Arial" w:hAnsi="Arial" w:cs="Arial"/>
          <w:sz w:val="24"/>
          <w:szCs w:val="24"/>
          <w:lang w:val="es-ES"/>
        </w:rPr>
        <w:t xml:space="preserve"> debe garantizar cierto tipo de estabilidad y permanencia en el cargo, lo cual conlleva que en los procesos de sanción y destitución se les debe</w:t>
      </w:r>
      <w:r w:rsidR="00C94879" w:rsidRPr="001A4DC9">
        <w:rPr>
          <w:rFonts w:ascii="Arial" w:hAnsi="Arial" w:cs="Arial"/>
          <w:sz w:val="24"/>
          <w:szCs w:val="24"/>
          <w:lang w:val="es-ES"/>
        </w:rPr>
        <w:t>n</w:t>
      </w:r>
      <w:r w:rsidRPr="001A4DC9">
        <w:rPr>
          <w:rFonts w:ascii="Arial" w:hAnsi="Arial" w:cs="Arial"/>
          <w:sz w:val="24"/>
          <w:szCs w:val="24"/>
          <w:lang w:val="es-ES"/>
        </w:rPr>
        <w:t xml:space="preserve"> respetar las garantías judiciales</w:t>
      </w:r>
      <w:r w:rsidR="00C94879" w:rsidRPr="001A4DC9">
        <w:rPr>
          <w:rFonts w:ascii="Arial" w:hAnsi="Arial" w:cs="Arial"/>
          <w:sz w:val="24"/>
          <w:szCs w:val="24"/>
          <w:lang w:val="es-ES"/>
        </w:rPr>
        <w:t xml:space="preserve"> que al efecto determina la Convención Americana. En tal sentido, se indicó:</w:t>
      </w:r>
    </w:p>
    <w:p w:rsidR="00E10C89" w:rsidRPr="001A4DC9" w:rsidRDefault="00F75952" w:rsidP="00490D86">
      <w:pPr>
        <w:shd w:val="clear" w:color="auto" w:fill="FFFFFF"/>
        <w:spacing w:before="4" w:after="240" w:line="360" w:lineRule="auto"/>
        <w:ind w:left="1276"/>
        <w:jc w:val="both"/>
        <w:textAlignment w:val="top"/>
        <w:rPr>
          <w:rFonts w:ascii="Arial" w:hAnsi="Arial" w:cs="Arial"/>
          <w:i/>
          <w:iCs/>
          <w:color w:val="000000"/>
          <w:sz w:val="24"/>
          <w:szCs w:val="24"/>
          <w:lang w:val="es-ES"/>
        </w:rPr>
      </w:pPr>
      <w:r w:rsidRPr="001A4DC9">
        <w:rPr>
          <w:rFonts w:ascii="Arial" w:hAnsi="Arial" w:cs="Arial"/>
          <w:sz w:val="24"/>
          <w:szCs w:val="24"/>
          <w:lang w:val="es-ES"/>
        </w:rPr>
        <w:t xml:space="preserve"> </w:t>
      </w:r>
      <w:r w:rsidR="008E540A" w:rsidRPr="001A4DC9">
        <w:rPr>
          <w:rFonts w:ascii="Arial" w:hAnsi="Arial" w:cs="Arial"/>
          <w:i/>
          <w:iCs/>
          <w:color w:val="000000"/>
          <w:sz w:val="24"/>
          <w:szCs w:val="24"/>
          <w:lang w:val="es-ES"/>
        </w:rPr>
        <w:t xml:space="preserve">“43. </w:t>
      </w:r>
      <w:r w:rsidR="008E540A" w:rsidRPr="001A4DC9">
        <w:rPr>
          <w:rFonts w:ascii="Arial" w:hAnsi="Arial" w:cs="Arial"/>
          <w:i/>
          <w:iCs/>
          <w:color w:val="000000"/>
          <w:sz w:val="24"/>
          <w:szCs w:val="24"/>
          <w:u w:val="single"/>
          <w:lang w:val="es-ES"/>
        </w:rPr>
        <w:t>La Corte observa que los Estados están obligados a asegurar que los jueces provisor</w:t>
      </w:r>
      <w:r w:rsidR="00490D86" w:rsidRPr="001A4DC9">
        <w:rPr>
          <w:rFonts w:ascii="Arial" w:hAnsi="Arial" w:cs="Arial"/>
          <w:i/>
          <w:iCs/>
          <w:color w:val="000000"/>
          <w:sz w:val="24"/>
          <w:szCs w:val="24"/>
          <w:u w:val="single"/>
          <w:lang w:val="es-ES"/>
        </w:rPr>
        <w:t>ios sean independientes y, por </w:t>
      </w:r>
      <w:r w:rsidR="008E540A" w:rsidRPr="001A4DC9">
        <w:rPr>
          <w:rFonts w:ascii="Arial" w:hAnsi="Arial" w:cs="Arial"/>
          <w:i/>
          <w:iCs/>
          <w:color w:val="000000"/>
          <w:sz w:val="24"/>
          <w:szCs w:val="24"/>
          <w:u w:val="single"/>
          <w:lang w:val="es-ES"/>
        </w:rPr>
        <w:t>ello, debe otorgarles cierto tipo de estabili</w:t>
      </w:r>
      <w:r w:rsidR="00490D86" w:rsidRPr="001A4DC9">
        <w:rPr>
          <w:rFonts w:ascii="Arial" w:hAnsi="Arial" w:cs="Arial"/>
          <w:i/>
          <w:iCs/>
          <w:color w:val="000000"/>
          <w:sz w:val="24"/>
          <w:szCs w:val="24"/>
          <w:u w:val="single"/>
          <w:lang w:val="es-ES"/>
        </w:rPr>
        <w:t>dad y permanencia en el cargo, </w:t>
      </w:r>
      <w:r w:rsidR="008E540A" w:rsidRPr="001A4DC9">
        <w:rPr>
          <w:rFonts w:ascii="Arial" w:hAnsi="Arial" w:cs="Arial"/>
          <w:i/>
          <w:iCs/>
          <w:color w:val="000000"/>
          <w:sz w:val="24"/>
          <w:szCs w:val="24"/>
          <w:u w:val="single"/>
          <w:lang w:val="es-ES"/>
        </w:rPr>
        <w:t>puesto que la provisionalidad no equivale a libre remoción.</w:t>
      </w:r>
      <w:r w:rsidR="008E540A" w:rsidRPr="001A4DC9">
        <w:rPr>
          <w:rFonts w:ascii="Arial" w:hAnsi="Arial" w:cs="Arial"/>
          <w:i/>
          <w:iCs/>
          <w:color w:val="000000"/>
          <w:sz w:val="24"/>
          <w:szCs w:val="24"/>
          <w:lang w:val="es-ES"/>
        </w:rPr>
        <w:t xml:space="preserve"> (…) En similar sentido, la Corte considera que la provisionalidad no debe significar alteración alguna del régimen de garantías para el buen desempeño del juzgador y la salvaguarda de los propios justiciables. Además, no debe extenderse indefinidamente en el tiempo y debe estar sujeta a una condición resolutoria, tal como el cumplimiento de un plazo predeterminado o la celebración y conclusión de un concurso público de oposición y antecedentes que nombre al reemplazante del juez provisorio con carácter permanen</w:t>
      </w:r>
      <w:r w:rsidR="00E10C89" w:rsidRPr="001A4DC9">
        <w:rPr>
          <w:rFonts w:ascii="Arial" w:hAnsi="Arial" w:cs="Arial"/>
          <w:i/>
          <w:iCs/>
          <w:color w:val="000000"/>
          <w:sz w:val="24"/>
          <w:szCs w:val="24"/>
          <w:lang w:val="es-ES"/>
        </w:rPr>
        <w:t>te. (…) </w:t>
      </w:r>
    </w:p>
    <w:p w:rsidR="008E540A" w:rsidRPr="001A4DC9" w:rsidRDefault="008E540A" w:rsidP="00490D86">
      <w:pPr>
        <w:shd w:val="clear" w:color="auto" w:fill="FFFFFF"/>
        <w:spacing w:before="4" w:after="240" w:line="360" w:lineRule="auto"/>
        <w:ind w:left="1276"/>
        <w:jc w:val="both"/>
        <w:textAlignment w:val="top"/>
        <w:rPr>
          <w:rFonts w:ascii="Arial" w:hAnsi="Arial" w:cs="Arial"/>
          <w:i/>
          <w:iCs/>
          <w:color w:val="000000"/>
          <w:sz w:val="24"/>
          <w:szCs w:val="24"/>
          <w:lang w:val="es-ES"/>
        </w:rPr>
      </w:pPr>
      <w:r w:rsidRPr="001A4DC9">
        <w:rPr>
          <w:rFonts w:ascii="Arial" w:hAnsi="Arial" w:cs="Arial"/>
          <w:i/>
          <w:iCs/>
          <w:color w:val="000000"/>
          <w:sz w:val="24"/>
          <w:szCs w:val="24"/>
          <w:lang w:val="es-ES"/>
        </w:rPr>
        <w:t xml:space="preserve">44. Esta Corte ha destacado con anterioridad que los diferentes sistemas políticos han ideado procedimientos estrictos tanto para el nombramiento de jueces como para su destitución. Sobre este último punto, el Tribunal ha afirmado que la autoridad a cargo del proceso de destitución de un juez debe </w:t>
      </w:r>
      <w:r w:rsidRPr="001A4DC9">
        <w:rPr>
          <w:rFonts w:ascii="Arial" w:hAnsi="Arial" w:cs="Arial"/>
          <w:i/>
          <w:iCs/>
          <w:color w:val="000000"/>
          <w:sz w:val="24"/>
          <w:szCs w:val="24"/>
          <w:lang w:val="es-ES"/>
        </w:rPr>
        <w:lastRenderedPageBreak/>
        <w:t>conducirse imparcialmente en el procedimiento establecido para el efecto y permitir el ejercicio del derecho de defensa. (…)</w:t>
      </w:r>
      <w:r w:rsidR="00C94879" w:rsidRPr="001A4DC9">
        <w:rPr>
          <w:rStyle w:val="FootnoteReference"/>
          <w:rFonts w:ascii="Arial" w:hAnsi="Arial" w:cs="Arial"/>
          <w:i/>
          <w:iCs/>
          <w:color w:val="000000"/>
          <w:sz w:val="24"/>
          <w:szCs w:val="24"/>
          <w:lang w:val="es-ES"/>
        </w:rPr>
        <w:footnoteReference w:id="16"/>
      </w:r>
      <w:r w:rsidRPr="001A4DC9">
        <w:rPr>
          <w:rFonts w:ascii="Arial" w:hAnsi="Arial" w:cs="Arial"/>
          <w:i/>
          <w:iCs/>
          <w:color w:val="000000"/>
          <w:sz w:val="24"/>
          <w:szCs w:val="24"/>
          <w:lang w:val="es-ES"/>
        </w:rPr>
        <w:t>.</w:t>
      </w:r>
    </w:p>
    <w:p w:rsidR="006E7AF7" w:rsidRPr="001A4DC9" w:rsidRDefault="008E540A" w:rsidP="00E10C89">
      <w:pPr>
        <w:overflowPunct w:val="0"/>
        <w:autoSpaceDE w:val="0"/>
        <w:autoSpaceDN w:val="0"/>
        <w:spacing w:before="4" w:after="240" w:line="360" w:lineRule="auto"/>
        <w:jc w:val="both"/>
        <w:textAlignment w:val="baseline"/>
        <w:rPr>
          <w:rFonts w:ascii="Arial" w:hAnsi="Arial" w:cs="Arial"/>
          <w:sz w:val="24"/>
          <w:szCs w:val="24"/>
          <w:lang w:val="es-ES"/>
        </w:rPr>
      </w:pPr>
      <w:r w:rsidRPr="001A4DC9">
        <w:rPr>
          <w:rFonts w:ascii="Arial" w:hAnsi="Arial" w:cs="Arial"/>
          <w:sz w:val="24"/>
          <w:szCs w:val="24"/>
          <w:lang w:val="es-ES"/>
        </w:rPr>
        <w:t>En este precedente se determinó que el Estado no garantizó el derecho de las víctimas a ser juzgadas por un tribunal imparcial, así como la falta de motivación de la resolución que ordenó el despido, lo que constituye una violación del artículo 8.1 de la Convención Americana.</w:t>
      </w:r>
    </w:p>
    <w:p w:rsidR="008E540A" w:rsidRPr="001A4DC9" w:rsidRDefault="006E7AF7" w:rsidP="00BD2D05">
      <w:pPr>
        <w:spacing w:after="160" w:line="259" w:lineRule="auto"/>
        <w:rPr>
          <w:rFonts w:ascii="Arial" w:hAnsi="Arial" w:cs="Arial"/>
          <w:b/>
          <w:bCs/>
          <w:sz w:val="24"/>
          <w:szCs w:val="24"/>
          <w:lang w:val="es-ES"/>
        </w:rPr>
      </w:pPr>
      <w:r w:rsidRPr="001A4DC9">
        <w:rPr>
          <w:rFonts w:ascii="Arial" w:hAnsi="Arial" w:cs="Arial"/>
          <w:b/>
          <w:bCs/>
          <w:sz w:val="24"/>
          <w:szCs w:val="24"/>
          <w:lang w:val="es-ES"/>
        </w:rPr>
        <w:t>3.3.  Caso Reverón Trujillo vs. Venezuela (2009)</w:t>
      </w:r>
    </w:p>
    <w:p w:rsidR="008E540A" w:rsidRPr="001A4DC9" w:rsidRDefault="008E540A" w:rsidP="00E10C89">
      <w:pPr>
        <w:overflowPunct w:val="0"/>
        <w:autoSpaceDE w:val="0"/>
        <w:autoSpaceDN w:val="0"/>
        <w:spacing w:before="4" w:after="240" w:line="360" w:lineRule="auto"/>
        <w:jc w:val="both"/>
        <w:textAlignment w:val="baseline"/>
        <w:rPr>
          <w:rFonts w:ascii="Arial" w:hAnsi="Arial" w:cs="Arial"/>
          <w:sz w:val="24"/>
          <w:szCs w:val="24"/>
          <w:lang w:val="es-ES"/>
        </w:rPr>
      </w:pPr>
      <w:r w:rsidRPr="001A4DC9">
        <w:rPr>
          <w:rFonts w:ascii="Arial" w:hAnsi="Arial" w:cs="Arial"/>
          <w:sz w:val="24"/>
          <w:szCs w:val="24"/>
          <w:lang w:val="es-ES"/>
        </w:rPr>
        <w:t xml:space="preserve">En sentido similar, en el caso Reverón Trujillo vs. Venezuela, sentencia de 30 de junio de 2009, la Corte Interamericana acreditó la responsabilidad internacional del Estado por la destitución arbitraria de la juez Reverón </w:t>
      </w:r>
      <w:r w:rsidRPr="001A4DC9">
        <w:rPr>
          <w:rFonts w:ascii="Arial" w:hAnsi="Arial" w:cs="Arial"/>
          <w:color w:val="000000"/>
          <w:sz w:val="24"/>
          <w:szCs w:val="24"/>
          <w:shd w:val="clear" w:color="auto" w:fill="FFFFFF"/>
          <w:lang w:val="es-ES"/>
        </w:rPr>
        <w:t>y la falta de un recurso judicial efectivo capaz de remediar, en forma integral, la violación a sus derechos fundamentales.</w:t>
      </w:r>
    </w:p>
    <w:p w:rsidR="00C94879" w:rsidRPr="001A4DC9" w:rsidRDefault="008E540A" w:rsidP="00E10C89">
      <w:pPr>
        <w:overflowPunct w:val="0"/>
        <w:autoSpaceDE w:val="0"/>
        <w:autoSpaceDN w:val="0"/>
        <w:spacing w:before="4" w:after="240" w:line="360" w:lineRule="auto"/>
        <w:jc w:val="both"/>
        <w:textAlignment w:val="baseline"/>
        <w:rPr>
          <w:rFonts w:ascii="Arial" w:hAnsi="Arial" w:cs="Arial"/>
          <w:sz w:val="24"/>
          <w:szCs w:val="24"/>
          <w:lang w:val="es-ES"/>
        </w:rPr>
      </w:pPr>
      <w:r w:rsidRPr="001A4DC9">
        <w:rPr>
          <w:rFonts w:ascii="Arial" w:hAnsi="Arial" w:cs="Arial"/>
          <w:color w:val="000000"/>
          <w:sz w:val="24"/>
          <w:szCs w:val="24"/>
          <w:shd w:val="clear" w:color="auto" w:fill="FFFFFF"/>
          <w:lang w:val="es-ES"/>
        </w:rPr>
        <w:t xml:space="preserve">En el caso mencionado, en </w:t>
      </w:r>
      <w:r w:rsidRPr="001A4DC9">
        <w:rPr>
          <w:rFonts w:ascii="Arial" w:hAnsi="Arial" w:cs="Arial"/>
          <w:sz w:val="24"/>
          <w:szCs w:val="24"/>
          <w:lang w:val="es-ES"/>
        </w:rPr>
        <w:t>febrero del 2002, la Comisión de Funcionamiento y Reestructuración del Sistema Judicial destituyó a la señora Reverón de su cargo con el argumento que habría incurrido en ilícitos disciplinarios. Posteriormente, el Tribunal Supremo de Justicia declaró la nulidad de la sanción de destitución, sin embargo, no ordenó la restitución de la jueza, ni el pago de los salarios dejados de percibir</w:t>
      </w:r>
      <w:r w:rsidR="00C94879" w:rsidRPr="001A4DC9">
        <w:rPr>
          <w:rFonts w:ascii="Arial" w:hAnsi="Arial" w:cs="Arial"/>
          <w:sz w:val="24"/>
          <w:szCs w:val="24"/>
          <w:lang w:val="es-ES"/>
        </w:rPr>
        <w:t xml:space="preserve">, tal y como correspondía. </w:t>
      </w:r>
      <w:r w:rsidR="00E10C89" w:rsidRPr="001A4DC9">
        <w:rPr>
          <w:rFonts w:ascii="Arial" w:hAnsi="Arial" w:cs="Arial"/>
          <w:sz w:val="24"/>
          <w:szCs w:val="24"/>
          <w:lang w:val="es-ES"/>
        </w:rPr>
        <w:t>En la sentencia se indicó:</w:t>
      </w:r>
    </w:p>
    <w:p w:rsidR="008E540A" w:rsidRPr="001A4DC9" w:rsidRDefault="008E540A" w:rsidP="00490D86">
      <w:pPr>
        <w:overflowPunct w:val="0"/>
        <w:autoSpaceDE w:val="0"/>
        <w:autoSpaceDN w:val="0"/>
        <w:spacing w:before="4" w:after="240" w:line="360" w:lineRule="auto"/>
        <w:ind w:left="1276"/>
        <w:jc w:val="both"/>
        <w:textAlignment w:val="baseline"/>
        <w:rPr>
          <w:rFonts w:ascii="Arial" w:hAnsi="Arial" w:cs="Arial"/>
          <w:i/>
          <w:iCs/>
          <w:sz w:val="24"/>
          <w:szCs w:val="24"/>
          <w:lang w:val="es-ES"/>
        </w:rPr>
      </w:pPr>
      <w:r w:rsidRPr="001A4DC9">
        <w:rPr>
          <w:rFonts w:ascii="Arial" w:hAnsi="Arial" w:cs="Arial"/>
          <w:i/>
          <w:iCs/>
          <w:sz w:val="24"/>
          <w:szCs w:val="24"/>
          <w:lang w:val="es-ES"/>
        </w:rPr>
        <w:t xml:space="preserve">“64. </w:t>
      </w:r>
      <w:r w:rsidRPr="001A4DC9">
        <w:rPr>
          <w:rFonts w:ascii="Arial" w:hAnsi="Arial" w:cs="Arial"/>
          <w:b/>
          <w:bCs/>
          <w:i/>
          <w:iCs/>
          <w:sz w:val="24"/>
          <w:szCs w:val="24"/>
          <w:u w:val="single"/>
          <w:lang w:val="es-ES"/>
        </w:rPr>
        <w:t>Los jueces que forman parte de la carrera judicial cu</w:t>
      </w:r>
      <w:r w:rsidR="00490D86" w:rsidRPr="001A4DC9">
        <w:rPr>
          <w:rFonts w:ascii="Arial" w:hAnsi="Arial" w:cs="Arial"/>
          <w:b/>
          <w:bCs/>
          <w:i/>
          <w:iCs/>
          <w:sz w:val="24"/>
          <w:szCs w:val="24"/>
          <w:u w:val="single"/>
          <w:lang w:val="es-ES"/>
        </w:rPr>
        <w:t>entan, en primer lugar, con la </w:t>
      </w:r>
      <w:r w:rsidRPr="001A4DC9">
        <w:rPr>
          <w:rFonts w:ascii="Arial" w:hAnsi="Arial" w:cs="Arial"/>
          <w:b/>
          <w:bCs/>
          <w:i/>
          <w:iCs/>
          <w:sz w:val="24"/>
          <w:szCs w:val="24"/>
          <w:u w:val="single"/>
          <w:lang w:val="es-ES"/>
        </w:rPr>
        <w:t>estabilidad que brinda el ser funcionario de carrera.</w:t>
      </w:r>
      <w:r w:rsidRPr="001A4DC9">
        <w:rPr>
          <w:rFonts w:ascii="Arial" w:hAnsi="Arial" w:cs="Arial"/>
          <w:i/>
          <w:iCs/>
          <w:sz w:val="24"/>
          <w:szCs w:val="24"/>
          <w:u w:val="single"/>
          <w:lang w:val="es-ES"/>
        </w:rPr>
        <w:t xml:space="preserve"> </w:t>
      </w:r>
      <w:r w:rsidRPr="001A4DC9">
        <w:rPr>
          <w:rFonts w:ascii="Arial" w:hAnsi="Arial" w:cs="Arial"/>
          <w:i/>
          <w:iCs/>
          <w:sz w:val="24"/>
          <w:szCs w:val="24"/>
          <w:lang w:val="es-ES"/>
        </w:rPr>
        <w:t xml:space="preserve">El principio general en materia laboral para los trabajadores públicos de carrera es la estabilidad, entendida como la certidumbre que debe asistir al empleado en el sentido de que, mientras de su parte haya observancia de </w:t>
      </w:r>
      <w:r w:rsidR="00490D86" w:rsidRPr="001A4DC9">
        <w:rPr>
          <w:rFonts w:ascii="Arial" w:hAnsi="Arial" w:cs="Arial"/>
          <w:i/>
          <w:iCs/>
          <w:sz w:val="24"/>
          <w:szCs w:val="24"/>
          <w:lang w:val="es-ES"/>
        </w:rPr>
        <w:t>las condiciones fijadas por la </w:t>
      </w:r>
      <w:r w:rsidRPr="001A4DC9">
        <w:rPr>
          <w:rFonts w:ascii="Arial" w:hAnsi="Arial" w:cs="Arial"/>
          <w:i/>
          <w:iCs/>
          <w:sz w:val="24"/>
          <w:szCs w:val="24"/>
          <w:lang w:val="es-ES"/>
        </w:rPr>
        <w:t xml:space="preserve">ley en relación con su desempeño, no será </w:t>
      </w:r>
      <w:r w:rsidRPr="001A4DC9">
        <w:rPr>
          <w:rFonts w:ascii="Arial" w:hAnsi="Arial" w:cs="Arial"/>
          <w:i/>
          <w:iCs/>
          <w:sz w:val="24"/>
          <w:szCs w:val="24"/>
          <w:lang w:val="es-ES"/>
        </w:rPr>
        <w:lastRenderedPageBreak/>
        <w:t>removido. Lo anterior se debe a que los funcionarios públicos han ingresado por m</w:t>
      </w:r>
      <w:r w:rsidR="00490D86" w:rsidRPr="001A4DC9">
        <w:rPr>
          <w:rFonts w:ascii="Arial" w:hAnsi="Arial" w:cs="Arial"/>
          <w:i/>
          <w:iCs/>
          <w:sz w:val="24"/>
          <w:szCs w:val="24"/>
          <w:lang w:val="es-ES"/>
        </w:rPr>
        <w:t>edio de concursos o algún otro </w:t>
      </w:r>
      <w:r w:rsidRPr="001A4DC9">
        <w:rPr>
          <w:rFonts w:ascii="Arial" w:hAnsi="Arial" w:cs="Arial"/>
          <w:i/>
          <w:iCs/>
          <w:sz w:val="24"/>
          <w:szCs w:val="24"/>
          <w:lang w:val="es-ES"/>
        </w:rPr>
        <w:t>método legal que determine los méritos y calid</w:t>
      </w:r>
      <w:r w:rsidR="00490D86" w:rsidRPr="001A4DC9">
        <w:rPr>
          <w:rFonts w:ascii="Arial" w:hAnsi="Arial" w:cs="Arial"/>
          <w:i/>
          <w:iCs/>
          <w:sz w:val="24"/>
          <w:szCs w:val="24"/>
          <w:lang w:val="es-ES"/>
        </w:rPr>
        <w:t>ades de los aspirantes y forman</w:t>
      </w:r>
      <w:r w:rsidRPr="001A4DC9">
        <w:rPr>
          <w:rFonts w:ascii="Arial" w:hAnsi="Arial" w:cs="Arial"/>
          <w:i/>
          <w:iCs/>
          <w:sz w:val="24"/>
          <w:szCs w:val="24"/>
          <w:lang w:val="es-ES"/>
        </w:rPr>
        <w:t xml:space="preserve"> parte de una carrera permanente. </w:t>
      </w:r>
    </w:p>
    <w:p w:rsidR="008E540A" w:rsidRPr="001A4DC9" w:rsidRDefault="008E540A" w:rsidP="00490D86">
      <w:pPr>
        <w:overflowPunct w:val="0"/>
        <w:autoSpaceDE w:val="0"/>
        <w:autoSpaceDN w:val="0"/>
        <w:spacing w:before="4" w:after="240" w:line="360" w:lineRule="auto"/>
        <w:ind w:left="1276"/>
        <w:jc w:val="both"/>
        <w:textAlignment w:val="baseline"/>
        <w:rPr>
          <w:rFonts w:ascii="Arial" w:hAnsi="Arial" w:cs="Arial"/>
          <w:i/>
          <w:iCs/>
          <w:sz w:val="24"/>
          <w:szCs w:val="24"/>
          <w:lang w:val="es-ES"/>
        </w:rPr>
      </w:pPr>
      <w:r w:rsidRPr="001A4DC9">
        <w:rPr>
          <w:rFonts w:ascii="Arial" w:hAnsi="Arial" w:cs="Arial"/>
          <w:i/>
          <w:iCs/>
          <w:sz w:val="24"/>
          <w:szCs w:val="24"/>
          <w:lang w:val="es-ES"/>
        </w:rPr>
        <w:t>67. Ahora bien, los jueces, a diferencia de los demás funcionarios p</w:t>
      </w:r>
      <w:r w:rsidR="00490D86" w:rsidRPr="001A4DC9">
        <w:rPr>
          <w:rFonts w:ascii="Arial" w:hAnsi="Arial" w:cs="Arial"/>
          <w:i/>
          <w:iCs/>
          <w:sz w:val="24"/>
          <w:szCs w:val="24"/>
          <w:lang w:val="es-ES"/>
        </w:rPr>
        <w:t>úblicos, cuentan con garantías </w:t>
      </w:r>
      <w:r w:rsidRPr="001A4DC9">
        <w:rPr>
          <w:rFonts w:ascii="Arial" w:hAnsi="Arial" w:cs="Arial"/>
          <w:i/>
          <w:iCs/>
          <w:sz w:val="24"/>
          <w:szCs w:val="24"/>
          <w:lang w:val="es-ES"/>
        </w:rPr>
        <w:t xml:space="preserve">reforzadas debido a la independencia necesaria </w:t>
      </w:r>
      <w:r w:rsidR="00490D86" w:rsidRPr="001A4DC9">
        <w:rPr>
          <w:rFonts w:ascii="Arial" w:hAnsi="Arial" w:cs="Arial"/>
          <w:i/>
          <w:iCs/>
          <w:sz w:val="24"/>
          <w:szCs w:val="24"/>
          <w:lang w:val="es-ES"/>
        </w:rPr>
        <w:t>del Poder Judicial, lo cual la </w:t>
      </w:r>
      <w:r w:rsidRPr="001A4DC9">
        <w:rPr>
          <w:rFonts w:ascii="Arial" w:hAnsi="Arial" w:cs="Arial"/>
          <w:i/>
          <w:iCs/>
          <w:sz w:val="24"/>
          <w:szCs w:val="24"/>
          <w:lang w:val="es-ES"/>
        </w:rPr>
        <w:t>Corte ha entendido como “esencial para el ejercicio de la función judicial”. El Tribunal ha dicho que uno de los objetivos principales que tiene la separación de los poderes públicos es la garantía de la inde</w:t>
      </w:r>
      <w:r w:rsidR="00490D86" w:rsidRPr="001A4DC9">
        <w:rPr>
          <w:rFonts w:ascii="Arial" w:hAnsi="Arial" w:cs="Arial"/>
          <w:i/>
          <w:iCs/>
          <w:sz w:val="24"/>
          <w:szCs w:val="24"/>
          <w:lang w:val="es-ES"/>
        </w:rPr>
        <w:t>pendencia de los jueces. Dicho </w:t>
      </w:r>
      <w:r w:rsidRPr="001A4DC9">
        <w:rPr>
          <w:rFonts w:ascii="Arial" w:hAnsi="Arial" w:cs="Arial"/>
          <w:i/>
          <w:iCs/>
          <w:sz w:val="24"/>
          <w:szCs w:val="24"/>
          <w:lang w:val="es-ES"/>
        </w:rPr>
        <w:t>ejercicio autónomo debe ser garantizado p</w:t>
      </w:r>
      <w:r w:rsidR="00490D86" w:rsidRPr="001A4DC9">
        <w:rPr>
          <w:rFonts w:ascii="Arial" w:hAnsi="Arial" w:cs="Arial"/>
          <w:i/>
          <w:iCs/>
          <w:sz w:val="24"/>
          <w:szCs w:val="24"/>
          <w:lang w:val="es-ES"/>
        </w:rPr>
        <w:t>or el Estado tanto en su faceta</w:t>
      </w:r>
      <w:r w:rsidRPr="001A4DC9">
        <w:rPr>
          <w:rFonts w:ascii="Arial" w:hAnsi="Arial" w:cs="Arial"/>
          <w:i/>
          <w:iCs/>
          <w:sz w:val="24"/>
          <w:szCs w:val="24"/>
          <w:lang w:val="es-ES"/>
        </w:rPr>
        <w:t xml:space="preserve"> institucional, esto es, en relación con el Poder Judicial como sistema,</w:t>
      </w:r>
      <w:r w:rsidR="00490D86" w:rsidRPr="001A4DC9">
        <w:rPr>
          <w:rFonts w:ascii="Arial" w:hAnsi="Arial" w:cs="Arial"/>
          <w:i/>
          <w:iCs/>
          <w:sz w:val="24"/>
          <w:szCs w:val="24"/>
          <w:lang w:val="es-ES"/>
        </w:rPr>
        <w:t xml:space="preserve"> así </w:t>
      </w:r>
      <w:r w:rsidRPr="001A4DC9">
        <w:rPr>
          <w:rFonts w:ascii="Arial" w:hAnsi="Arial" w:cs="Arial"/>
          <w:i/>
          <w:iCs/>
          <w:sz w:val="24"/>
          <w:szCs w:val="24"/>
          <w:lang w:val="es-ES"/>
        </w:rPr>
        <w:t>como también en conexión con su vertiente indivi</w:t>
      </w:r>
      <w:r w:rsidR="00490D86" w:rsidRPr="001A4DC9">
        <w:rPr>
          <w:rFonts w:ascii="Arial" w:hAnsi="Arial" w:cs="Arial"/>
          <w:i/>
          <w:iCs/>
          <w:sz w:val="24"/>
          <w:szCs w:val="24"/>
          <w:lang w:val="es-ES"/>
        </w:rPr>
        <w:t>dual, es decir, con relación a </w:t>
      </w:r>
      <w:r w:rsidRPr="001A4DC9">
        <w:rPr>
          <w:rFonts w:ascii="Arial" w:hAnsi="Arial" w:cs="Arial"/>
          <w:i/>
          <w:iCs/>
          <w:sz w:val="24"/>
          <w:szCs w:val="24"/>
          <w:lang w:val="es-ES"/>
        </w:rPr>
        <w:t>la persona del juez específico. (…) Adicionalme</w:t>
      </w:r>
      <w:r w:rsidR="00490D86" w:rsidRPr="001A4DC9">
        <w:rPr>
          <w:rFonts w:ascii="Arial" w:hAnsi="Arial" w:cs="Arial"/>
          <w:i/>
          <w:iCs/>
          <w:sz w:val="24"/>
          <w:szCs w:val="24"/>
          <w:lang w:val="es-ES"/>
        </w:rPr>
        <w:t>nte, el Estado está en el deber</w:t>
      </w:r>
      <w:r w:rsidRPr="001A4DC9">
        <w:rPr>
          <w:rFonts w:ascii="Arial" w:hAnsi="Arial" w:cs="Arial"/>
          <w:i/>
          <w:iCs/>
          <w:sz w:val="24"/>
          <w:szCs w:val="24"/>
          <w:lang w:val="es-ES"/>
        </w:rPr>
        <w:t xml:space="preserve"> de garantizar una apariencia de independencia </w:t>
      </w:r>
      <w:r w:rsidR="00490D86" w:rsidRPr="001A4DC9">
        <w:rPr>
          <w:rFonts w:ascii="Arial" w:hAnsi="Arial" w:cs="Arial"/>
          <w:i/>
          <w:iCs/>
          <w:sz w:val="24"/>
          <w:szCs w:val="24"/>
          <w:lang w:val="es-ES"/>
        </w:rPr>
        <w:t>de la magistratura que inspire </w:t>
      </w:r>
      <w:r w:rsidRPr="001A4DC9">
        <w:rPr>
          <w:rFonts w:ascii="Arial" w:hAnsi="Arial" w:cs="Arial"/>
          <w:i/>
          <w:iCs/>
          <w:sz w:val="24"/>
          <w:szCs w:val="24"/>
          <w:lang w:val="es-ES"/>
        </w:rPr>
        <w:t>legitimidad y confianza suficiente no s</w:t>
      </w:r>
      <w:r w:rsidR="00490D86" w:rsidRPr="001A4DC9">
        <w:rPr>
          <w:rFonts w:ascii="Arial" w:hAnsi="Arial" w:cs="Arial"/>
          <w:i/>
          <w:iCs/>
          <w:sz w:val="24"/>
          <w:szCs w:val="24"/>
          <w:lang w:val="es-ES"/>
        </w:rPr>
        <w:t>ólo al justiciable, sino a los </w:t>
      </w:r>
      <w:r w:rsidRPr="001A4DC9">
        <w:rPr>
          <w:rFonts w:ascii="Arial" w:hAnsi="Arial" w:cs="Arial"/>
          <w:i/>
          <w:iCs/>
          <w:sz w:val="24"/>
          <w:szCs w:val="24"/>
          <w:lang w:val="es-ES"/>
        </w:rPr>
        <w:t>ciudadanos en una sociedad democrática.</w:t>
      </w:r>
    </w:p>
    <w:p w:rsidR="008E540A" w:rsidRPr="001A4DC9" w:rsidRDefault="008E540A" w:rsidP="00E10C89">
      <w:pPr>
        <w:spacing w:before="4" w:after="240" w:line="360" w:lineRule="auto"/>
        <w:jc w:val="both"/>
        <w:rPr>
          <w:rFonts w:ascii="Arial" w:hAnsi="Arial" w:cs="Arial"/>
          <w:sz w:val="24"/>
          <w:szCs w:val="24"/>
          <w:lang w:val="es-ES"/>
        </w:rPr>
      </w:pPr>
      <w:r w:rsidRPr="001A4DC9">
        <w:rPr>
          <w:rFonts w:ascii="Arial" w:hAnsi="Arial" w:cs="Arial"/>
          <w:sz w:val="24"/>
          <w:szCs w:val="24"/>
          <w:lang w:val="es-ES"/>
        </w:rPr>
        <w:t>Además, indicó:</w:t>
      </w:r>
    </w:p>
    <w:p w:rsidR="008E540A" w:rsidRPr="001A4DC9" w:rsidRDefault="008E540A" w:rsidP="00E10C89">
      <w:pPr>
        <w:overflowPunct w:val="0"/>
        <w:autoSpaceDE w:val="0"/>
        <w:autoSpaceDN w:val="0"/>
        <w:spacing w:before="4" w:after="240" w:line="360" w:lineRule="auto"/>
        <w:ind w:left="1276"/>
        <w:jc w:val="both"/>
        <w:textAlignment w:val="baseline"/>
        <w:rPr>
          <w:rFonts w:ascii="Arial" w:hAnsi="Arial" w:cs="Arial"/>
          <w:i/>
          <w:iCs/>
          <w:sz w:val="24"/>
          <w:szCs w:val="24"/>
          <w:lang w:val="es-ES"/>
        </w:rPr>
      </w:pPr>
      <w:bookmarkStart w:id="7" w:name="_Hlk25916003"/>
      <w:r w:rsidRPr="001A4DC9">
        <w:rPr>
          <w:rFonts w:ascii="Arial" w:hAnsi="Arial" w:cs="Arial"/>
          <w:iCs/>
          <w:sz w:val="24"/>
          <w:szCs w:val="24"/>
          <w:lang w:val="es-ES"/>
        </w:rPr>
        <w:t>“</w:t>
      </w:r>
      <w:bookmarkEnd w:id="7"/>
      <w:r w:rsidRPr="001A4DC9">
        <w:rPr>
          <w:rFonts w:ascii="Arial" w:hAnsi="Arial" w:cs="Arial"/>
          <w:i/>
          <w:iCs/>
          <w:sz w:val="24"/>
          <w:szCs w:val="24"/>
          <w:lang w:val="es-ES"/>
        </w:rPr>
        <w:t xml:space="preserve">70. Conforme a </w:t>
      </w:r>
      <w:r w:rsidR="00AB3E52" w:rsidRPr="001A4DC9">
        <w:rPr>
          <w:rFonts w:ascii="Arial" w:hAnsi="Arial" w:cs="Arial"/>
          <w:i/>
          <w:iCs/>
          <w:sz w:val="24"/>
          <w:szCs w:val="24"/>
          <w:lang w:val="es-ES"/>
        </w:rPr>
        <w:t>la jurisprudencia</w:t>
      </w:r>
      <w:r w:rsidRPr="001A4DC9">
        <w:rPr>
          <w:rFonts w:ascii="Arial" w:hAnsi="Arial" w:cs="Arial"/>
          <w:i/>
          <w:iCs/>
          <w:sz w:val="24"/>
          <w:szCs w:val="24"/>
          <w:lang w:val="es-ES"/>
        </w:rPr>
        <w:t xml:space="preserve"> de esta Corte y de la Corte Europ</w:t>
      </w:r>
      <w:r w:rsidR="00490D86" w:rsidRPr="001A4DC9">
        <w:rPr>
          <w:rFonts w:ascii="Arial" w:hAnsi="Arial" w:cs="Arial"/>
          <w:i/>
          <w:iCs/>
          <w:sz w:val="24"/>
          <w:szCs w:val="24"/>
          <w:lang w:val="es-ES"/>
        </w:rPr>
        <w:t>ea, así como de conformidad con</w:t>
      </w:r>
      <w:r w:rsidRPr="001A4DC9">
        <w:rPr>
          <w:rFonts w:ascii="Arial" w:hAnsi="Arial" w:cs="Arial"/>
          <w:i/>
          <w:iCs/>
          <w:sz w:val="24"/>
          <w:szCs w:val="24"/>
          <w:lang w:val="es-ES"/>
        </w:rPr>
        <w:t xml:space="preserve"> los Principios básicos de las Naciones Unidas r</w:t>
      </w:r>
      <w:r w:rsidR="00490D86" w:rsidRPr="001A4DC9">
        <w:rPr>
          <w:rFonts w:ascii="Arial" w:hAnsi="Arial" w:cs="Arial"/>
          <w:i/>
          <w:iCs/>
          <w:sz w:val="24"/>
          <w:szCs w:val="24"/>
          <w:lang w:val="es-ES"/>
        </w:rPr>
        <w:t>elativos a la independencia de </w:t>
      </w:r>
      <w:r w:rsidRPr="001A4DC9">
        <w:rPr>
          <w:rFonts w:ascii="Arial" w:hAnsi="Arial" w:cs="Arial"/>
          <w:i/>
          <w:iCs/>
          <w:sz w:val="24"/>
          <w:szCs w:val="24"/>
          <w:lang w:val="es-ES"/>
        </w:rPr>
        <w:t>la judicatura (en adelante “Principios Básicos”</w:t>
      </w:r>
      <w:r w:rsidR="00490D86" w:rsidRPr="001A4DC9">
        <w:rPr>
          <w:rFonts w:ascii="Arial" w:hAnsi="Arial" w:cs="Arial"/>
          <w:i/>
          <w:iCs/>
          <w:sz w:val="24"/>
          <w:szCs w:val="24"/>
          <w:lang w:val="es-ES"/>
        </w:rPr>
        <w:t>), las siguientes garantías se </w:t>
      </w:r>
      <w:r w:rsidRPr="001A4DC9">
        <w:rPr>
          <w:rFonts w:ascii="Arial" w:hAnsi="Arial" w:cs="Arial"/>
          <w:i/>
          <w:iCs/>
          <w:sz w:val="24"/>
          <w:szCs w:val="24"/>
          <w:lang w:val="es-ES"/>
        </w:rPr>
        <w:t xml:space="preserve">derivan de la independencia judicial: </w:t>
      </w:r>
      <w:r w:rsidRPr="001A4DC9">
        <w:rPr>
          <w:rFonts w:ascii="Arial" w:hAnsi="Arial" w:cs="Arial"/>
          <w:i/>
          <w:iCs/>
          <w:sz w:val="24"/>
          <w:szCs w:val="24"/>
          <w:u w:val="single"/>
          <w:lang w:val="es-ES"/>
        </w:rPr>
        <w:t>un adecua</w:t>
      </w:r>
      <w:r w:rsidR="00490D86" w:rsidRPr="001A4DC9">
        <w:rPr>
          <w:rFonts w:ascii="Arial" w:hAnsi="Arial" w:cs="Arial"/>
          <w:i/>
          <w:iCs/>
          <w:sz w:val="24"/>
          <w:szCs w:val="24"/>
          <w:u w:val="single"/>
          <w:lang w:val="es-ES"/>
        </w:rPr>
        <w:t>do proceso de nombramiento, la </w:t>
      </w:r>
      <w:r w:rsidRPr="001A4DC9">
        <w:rPr>
          <w:rFonts w:ascii="Arial" w:hAnsi="Arial" w:cs="Arial"/>
          <w:i/>
          <w:iCs/>
          <w:sz w:val="24"/>
          <w:szCs w:val="24"/>
          <w:u w:val="single"/>
          <w:lang w:val="es-ES"/>
        </w:rPr>
        <w:t>inamovilidad en el cargo y la garantía contra presiones externas.</w:t>
      </w:r>
    </w:p>
    <w:p w:rsidR="008E540A" w:rsidRPr="001A4DC9" w:rsidRDefault="008E540A" w:rsidP="00E10C89">
      <w:pPr>
        <w:overflowPunct w:val="0"/>
        <w:autoSpaceDE w:val="0"/>
        <w:autoSpaceDN w:val="0"/>
        <w:spacing w:before="4" w:after="240" w:line="360" w:lineRule="auto"/>
        <w:ind w:left="1276"/>
        <w:jc w:val="both"/>
        <w:textAlignment w:val="baseline"/>
        <w:rPr>
          <w:rFonts w:ascii="Arial" w:hAnsi="Arial" w:cs="Arial"/>
          <w:i/>
          <w:iCs/>
          <w:sz w:val="24"/>
          <w:szCs w:val="24"/>
          <w:u w:val="single"/>
          <w:lang w:val="es-ES"/>
        </w:rPr>
      </w:pPr>
      <w:r w:rsidRPr="001A4DC9">
        <w:rPr>
          <w:rFonts w:ascii="Arial" w:hAnsi="Arial" w:cs="Arial"/>
          <w:i/>
          <w:iCs/>
          <w:sz w:val="24"/>
          <w:szCs w:val="24"/>
          <w:lang w:val="es-ES"/>
        </w:rPr>
        <w:t xml:space="preserve">- </w:t>
      </w:r>
      <w:r w:rsidRPr="001A4DC9">
        <w:rPr>
          <w:rFonts w:ascii="Arial" w:hAnsi="Arial" w:cs="Arial"/>
          <w:b/>
          <w:bCs/>
          <w:i/>
          <w:iCs/>
          <w:sz w:val="24"/>
          <w:szCs w:val="24"/>
          <w:u w:val="single"/>
          <w:lang w:val="es-ES"/>
        </w:rPr>
        <w:t>Adecuado proceso de nombramiento</w:t>
      </w:r>
    </w:p>
    <w:p w:rsidR="008E540A" w:rsidRPr="001A4DC9" w:rsidRDefault="008E540A" w:rsidP="00E10C89">
      <w:pPr>
        <w:overflowPunct w:val="0"/>
        <w:autoSpaceDE w:val="0"/>
        <w:autoSpaceDN w:val="0"/>
        <w:spacing w:before="4" w:after="240" w:line="360" w:lineRule="auto"/>
        <w:ind w:left="1276"/>
        <w:jc w:val="both"/>
        <w:textAlignment w:val="baseline"/>
        <w:rPr>
          <w:rFonts w:ascii="Arial" w:hAnsi="Arial" w:cs="Arial"/>
          <w:i/>
          <w:iCs/>
          <w:sz w:val="24"/>
          <w:szCs w:val="24"/>
          <w:lang w:val="es-ES"/>
        </w:rPr>
      </w:pPr>
      <w:r w:rsidRPr="001A4DC9">
        <w:rPr>
          <w:rFonts w:ascii="Arial" w:hAnsi="Arial" w:cs="Arial"/>
          <w:i/>
          <w:iCs/>
          <w:sz w:val="24"/>
          <w:szCs w:val="24"/>
          <w:lang w:val="es-ES"/>
        </w:rPr>
        <w:lastRenderedPageBreak/>
        <w:t>72. (…) [</w:t>
      </w:r>
      <w:r w:rsidRPr="001A4DC9">
        <w:rPr>
          <w:rFonts w:ascii="Arial" w:hAnsi="Arial" w:cs="Arial"/>
          <w:i/>
          <w:iCs/>
          <w:sz w:val="24"/>
          <w:szCs w:val="24"/>
          <w:u w:val="single"/>
          <w:lang w:val="es-ES"/>
        </w:rPr>
        <w:t xml:space="preserve">L]a </w:t>
      </w:r>
      <w:r w:rsidR="00AB3E52" w:rsidRPr="001A4DC9">
        <w:rPr>
          <w:rFonts w:ascii="Arial" w:hAnsi="Arial" w:cs="Arial"/>
          <w:i/>
          <w:iCs/>
          <w:sz w:val="24"/>
          <w:szCs w:val="24"/>
          <w:u w:val="single"/>
          <w:lang w:val="es-ES"/>
        </w:rPr>
        <w:t>Corte destaca</w:t>
      </w:r>
      <w:r w:rsidRPr="001A4DC9">
        <w:rPr>
          <w:rFonts w:ascii="Arial" w:hAnsi="Arial" w:cs="Arial"/>
          <w:i/>
          <w:iCs/>
          <w:sz w:val="24"/>
          <w:szCs w:val="24"/>
          <w:u w:val="single"/>
          <w:lang w:val="es-ES"/>
        </w:rPr>
        <w:t xml:space="preserve"> que todo proceso de nombramiento debe tener como función </w:t>
      </w:r>
      <w:r w:rsidR="00AB3E52" w:rsidRPr="001A4DC9">
        <w:rPr>
          <w:rFonts w:ascii="Arial" w:hAnsi="Arial" w:cs="Arial"/>
          <w:i/>
          <w:iCs/>
          <w:sz w:val="24"/>
          <w:szCs w:val="24"/>
          <w:u w:val="single"/>
          <w:lang w:val="es-ES"/>
        </w:rPr>
        <w:t>no sólo</w:t>
      </w:r>
      <w:r w:rsidRPr="001A4DC9">
        <w:rPr>
          <w:rFonts w:ascii="Arial" w:hAnsi="Arial" w:cs="Arial"/>
          <w:i/>
          <w:iCs/>
          <w:sz w:val="24"/>
          <w:szCs w:val="24"/>
          <w:u w:val="single"/>
          <w:lang w:val="es-ES"/>
        </w:rPr>
        <w:t xml:space="preserve"> la escogencia según los méritos </w:t>
      </w:r>
      <w:r w:rsidR="00AB3E52" w:rsidRPr="001A4DC9">
        <w:rPr>
          <w:rFonts w:ascii="Arial" w:hAnsi="Arial" w:cs="Arial"/>
          <w:i/>
          <w:iCs/>
          <w:sz w:val="24"/>
          <w:szCs w:val="24"/>
          <w:u w:val="single"/>
          <w:lang w:val="es-ES"/>
        </w:rPr>
        <w:t>y calidades</w:t>
      </w:r>
      <w:r w:rsidRPr="001A4DC9">
        <w:rPr>
          <w:rFonts w:ascii="Arial" w:hAnsi="Arial" w:cs="Arial"/>
          <w:i/>
          <w:iCs/>
          <w:sz w:val="24"/>
          <w:szCs w:val="24"/>
          <w:u w:val="single"/>
          <w:lang w:val="es-ES"/>
        </w:rPr>
        <w:t xml:space="preserve"> del aspirante, sino el aseguramiento de la igualdad de </w:t>
      </w:r>
      <w:r w:rsidR="00AB3E52" w:rsidRPr="001A4DC9">
        <w:rPr>
          <w:rFonts w:ascii="Arial" w:hAnsi="Arial" w:cs="Arial"/>
          <w:i/>
          <w:iCs/>
          <w:sz w:val="24"/>
          <w:szCs w:val="24"/>
          <w:u w:val="single"/>
          <w:lang w:val="es-ES"/>
        </w:rPr>
        <w:t>oportunidades en</w:t>
      </w:r>
      <w:r w:rsidRPr="001A4DC9">
        <w:rPr>
          <w:rFonts w:ascii="Arial" w:hAnsi="Arial" w:cs="Arial"/>
          <w:i/>
          <w:iCs/>
          <w:sz w:val="24"/>
          <w:szCs w:val="24"/>
          <w:u w:val="single"/>
          <w:lang w:val="es-ES"/>
        </w:rPr>
        <w:t xml:space="preserve"> el acceso al Poder Judicial. En consecuencia, se debe seleccionar a </w:t>
      </w:r>
      <w:r w:rsidR="00AB3E52" w:rsidRPr="001A4DC9">
        <w:rPr>
          <w:rFonts w:ascii="Arial" w:hAnsi="Arial" w:cs="Arial"/>
          <w:i/>
          <w:iCs/>
          <w:sz w:val="24"/>
          <w:szCs w:val="24"/>
          <w:u w:val="single"/>
          <w:lang w:val="es-ES"/>
        </w:rPr>
        <w:t>los jueces</w:t>
      </w:r>
      <w:r w:rsidRPr="001A4DC9">
        <w:rPr>
          <w:rFonts w:ascii="Arial" w:hAnsi="Arial" w:cs="Arial"/>
          <w:i/>
          <w:iCs/>
          <w:sz w:val="24"/>
          <w:szCs w:val="24"/>
          <w:u w:val="single"/>
          <w:lang w:val="es-ES"/>
        </w:rPr>
        <w:t xml:space="preserve"> exclusivamente por el mérito personal y   su capacidad profesional, a través de mecanismos objetivos de </w:t>
      </w:r>
      <w:r w:rsidR="00AB3E52" w:rsidRPr="001A4DC9">
        <w:rPr>
          <w:rFonts w:ascii="Arial" w:hAnsi="Arial" w:cs="Arial"/>
          <w:i/>
          <w:iCs/>
          <w:sz w:val="24"/>
          <w:szCs w:val="24"/>
          <w:u w:val="single"/>
          <w:lang w:val="es-ES"/>
        </w:rPr>
        <w:t>selección y</w:t>
      </w:r>
      <w:r w:rsidRPr="001A4DC9">
        <w:rPr>
          <w:rFonts w:ascii="Arial" w:hAnsi="Arial" w:cs="Arial"/>
          <w:i/>
          <w:iCs/>
          <w:sz w:val="24"/>
          <w:szCs w:val="24"/>
          <w:u w:val="single"/>
          <w:lang w:val="es-ES"/>
        </w:rPr>
        <w:t xml:space="preserve"> permanencia que tengan en cuenta la singularidad y especificidad de </w:t>
      </w:r>
      <w:r w:rsidR="00AB3E52" w:rsidRPr="001A4DC9">
        <w:rPr>
          <w:rFonts w:ascii="Arial" w:hAnsi="Arial" w:cs="Arial"/>
          <w:i/>
          <w:iCs/>
          <w:sz w:val="24"/>
          <w:szCs w:val="24"/>
          <w:u w:val="single"/>
          <w:lang w:val="es-ES"/>
        </w:rPr>
        <w:t>las funciones</w:t>
      </w:r>
      <w:r w:rsidRPr="001A4DC9">
        <w:rPr>
          <w:rFonts w:ascii="Arial" w:hAnsi="Arial" w:cs="Arial"/>
          <w:i/>
          <w:iCs/>
          <w:sz w:val="24"/>
          <w:szCs w:val="24"/>
          <w:u w:val="single"/>
          <w:lang w:val="es-ES"/>
        </w:rPr>
        <w:t xml:space="preserve"> que se van a desempeñar.</w:t>
      </w:r>
    </w:p>
    <w:p w:rsidR="008E540A" w:rsidRPr="001A4DC9" w:rsidRDefault="008E540A" w:rsidP="00E10C89">
      <w:pPr>
        <w:overflowPunct w:val="0"/>
        <w:autoSpaceDE w:val="0"/>
        <w:autoSpaceDN w:val="0"/>
        <w:spacing w:before="4" w:after="240" w:line="360" w:lineRule="auto"/>
        <w:ind w:left="1276"/>
        <w:jc w:val="both"/>
        <w:textAlignment w:val="baseline"/>
        <w:rPr>
          <w:rFonts w:ascii="Arial" w:hAnsi="Arial" w:cs="Arial"/>
          <w:i/>
          <w:iCs/>
          <w:sz w:val="24"/>
          <w:szCs w:val="24"/>
          <w:lang w:val="es-ES"/>
        </w:rPr>
      </w:pPr>
      <w:r w:rsidRPr="001A4DC9">
        <w:rPr>
          <w:rFonts w:ascii="Arial" w:hAnsi="Arial" w:cs="Arial"/>
          <w:i/>
          <w:iCs/>
          <w:sz w:val="24"/>
          <w:szCs w:val="24"/>
          <w:lang w:val="es-ES"/>
        </w:rPr>
        <w:t xml:space="preserve">73. Los procedimientos de nombramiento tampoco pueden involucrar privilegios o </w:t>
      </w:r>
      <w:r w:rsidR="00AB3E52" w:rsidRPr="001A4DC9">
        <w:rPr>
          <w:rFonts w:ascii="Arial" w:hAnsi="Arial" w:cs="Arial"/>
          <w:i/>
          <w:iCs/>
          <w:sz w:val="24"/>
          <w:szCs w:val="24"/>
          <w:lang w:val="es-ES"/>
        </w:rPr>
        <w:t>ventajas irrazonables</w:t>
      </w:r>
      <w:r w:rsidRPr="001A4DC9">
        <w:rPr>
          <w:rFonts w:ascii="Arial" w:hAnsi="Arial" w:cs="Arial"/>
          <w:i/>
          <w:iCs/>
          <w:sz w:val="24"/>
          <w:szCs w:val="24"/>
          <w:lang w:val="es-ES"/>
        </w:rPr>
        <w:t xml:space="preserve">. </w:t>
      </w:r>
      <w:r w:rsidRPr="001A4DC9">
        <w:rPr>
          <w:rFonts w:ascii="Arial" w:hAnsi="Arial" w:cs="Arial"/>
          <w:i/>
          <w:iCs/>
          <w:sz w:val="24"/>
          <w:szCs w:val="24"/>
          <w:u w:val="single"/>
          <w:lang w:val="es-ES"/>
        </w:rPr>
        <w:t xml:space="preserve">La igualdad de oportunidades se garantiza a través de una </w:t>
      </w:r>
      <w:r w:rsidR="00AB3E52" w:rsidRPr="001A4DC9">
        <w:rPr>
          <w:rFonts w:ascii="Arial" w:hAnsi="Arial" w:cs="Arial"/>
          <w:i/>
          <w:iCs/>
          <w:sz w:val="24"/>
          <w:szCs w:val="24"/>
          <w:u w:val="single"/>
          <w:lang w:val="es-ES"/>
        </w:rPr>
        <w:t>libre concurrencia</w:t>
      </w:r>
      <w:r w:rsidRPr="001A4DC9">
        <w:rPr>
          <w:rFonts w:ascii="Arial" w:hAnsi="Arial" w:cs="Arial"/>
          <w:i/>
          <w:iCs/>
          <w:sz w:val="24"/>
          <w:szCs w:val="24"/>
          <w:u w:val="single"/>
          <w:lang w:val="es-ES"/>
        </w:rPr>
        <w:t xml:space="preserve">, de tal forma que todos los ciudadanos que acrediten </w:t>
      </w:r>
      <w:r w:rsidR="00AB3E52" w:rsidRPr="001A4DC9">
        <w:rPr>
          <w:rFonts w:ascii="Arial" w:hAnsi="Arial" w:cs="Arial"/>
          <w:i/>
          <w:iCs/>
          <w:sz w:val="24"/>
          <w:szCs w:val="24"/>
          <w:u w:val="single"/>
          <w:lang w:val="es-ES"/>
        </w:rPr>
        <w:t>los requisitos</w:t>
      </w:r>
      <w:r w:rsidRPr="001A4DC9">
        <w:rPr>
          <w:rFonts w:ascii="Arial" w:hAnsi="Arial" w:cs="Arial"/>
          <w:i/>
          <w:iCs/>
          <w:sz w:val="24"/>
          <w:szCs w:val="24"/>
          <w:u w:val="single"/>
          <w:lang w:val="es-ES"/>
        </w:rPr>
        <w:t xml:space="preserve"> determinados en la ley deben poder participar en los procesos </w:t>
      </w:r>
      <w:r w:rsidR="00AB3E52" w:rsidRPr="001A4DC9">
        <w:rPr>
          <w:rFonts w:ascii="Arial" w:hAnsi="Arial" w:cs="Arial"/>
          <w:i/>
          <w:iCs/>
          <w:sz w:val="24"/>
          <w:szCs w:val="24"/>
          <w:u w:val="single"/>
          <w:lang w:val="es-ES"/>
        </w:rPr>
        <w:t>de selección</w:t>
      </w:r>
      <w:r w:rsidRPr="001A4DC9">
        <w:rPr>
          <w:rFonts w:ascii="Arial" w:hAnsi="Arial" w:cs="Arial"/>
          <w:i/>
          <w:iCs/>
          <w:sz w:val="24"/>
          <w:szCs w:val="24"/>
          <w:u w:val="single"/>
          <w:lang w:val="es-ES"/>
        </w:rPr>
        <w:t xml:space="preserve"> sin ser objeto de tratos desiguales arbitrarios</w:t>
      </w:r>
      <w:r w:rsidRPr="001A4DC9">
        <w:rPr>
          <w:rFonts w:ascii="Arial" w:hAnsi="Arial" w:cs="Arial"/>
          <w:i/>
          <w:iCs/>
          <w:sz w:val="24"/>
          <w:szCs w:val="24"/>
          <w:lang w:val="es-ES"/>
        </w:rPr>
        <w:t xml:space="preserve">. Todos los </w:t>
      </w:r>
      <w:r w:rsidR="00AB3E52" w:rsidRPr="001A4DC9">
        <w:rPr>
          <w:rFonts w:ascii="Arial" w:hAnsi="Arial" w:cs="Arial"/>
          <w:i/>
          <w:iCs/>
          <w:sz w:val="24"/>
          <w:szCs w:val="24"/>
          <w:lang w:val="es-ES"/>
        </w:rPr>
        <w:t>aspirantes deben</w:t>
      </w:r>
      <w:r w:rsidRPr="001A4DC9">
        <w:rPr>
          <w:rFonts w:ascii="Arial" w:hAnsi="Arial" w:cs="Arial"/>
          <w:i/>
          <w:iCs/>
          <w:sz w:val="24"/>
          <w:szCs w:val="24"/>
          <w:lang w:val="es-ES"/>
        </w:rPr>
        <w:t xml:space="preserve"> concursar en igualdad de condiciones aún respecto de quienes ocupan </w:t>
      </w:r>
      <w:r w:rsidR="00AB3E52" w:rsidRPr="001A4DC9">
        <w:rPr>
          <w:rFonts w:ascii="Arial" w:hAnsi="Arial" w:cs="Arial"/>
          <w:i/>
          <w:iCs/>
          <w:sz w:val="24"/>
          <w:szCs w:val="24"/>
          <w:lang w:val="es-ES"/>
        </w:rPr>
        <w:t>los cargos</w:t>
      </w:r>
      <w:r w:rsidRPr="001A4DC9">
        <w:rPr>
          <w:rFonts w:ascii="Arial" w:hAnsi="Arial" w:cs="Arial"/>
          <w:i/>
          <w:iCs/>
          <w:sz w:val="24"/>
          <w:szCs w:val="24"/>
          <w:lang w:val="es-ES"/>
        </w:rPr>
        <w:t xml:space="preserve"> en provisionalidad, los que por tal condición no pueden ser tratados </w:t>
      </w:r>
      <w:r w:rsidR="00AB3E52" w:rsidRPr="001A4DC9">
        <w:rPr>
          <w:rFonts w:ascii="Arial" w:hAnsi="Arial" w:cs="Arial"/>
          <w:i/>
          <w:iCs/>
          <w:sz w:val="24"/>
          <w:szCs w:val="24"/>
          <w:lang w:val="es-ES"/>
        </w:rPr>
        <w:t>con privilegios</w:t>
      </w:r>
      <w:r w:rsidRPr="001A4DC9">
        <w:rPr>
          <w:rFonts w:ascii="Arial" w:hAnsi="Arial" w:cs="Arial"/>
          <w:i/>
          <w:iCs/>
          <w:sz w:val="24"/>
          <w:szCs w:val="24"/>
          <w:lang w:val="es-ES"/>
        </w:rPr>
        <w:t xml:space="preserve"> o ventajas, así como tampoco con d</w:t>
      </w:r>
      <w:r w:rsidR="00490D86" w:rsidRPr="001A4DC9">
        <w:rPr>
          <w:rFonts w:ascii="Arial" w:hAnsi="Arial" w:cs="Arial"/>
          <w:i/>
          <w:iCs/>
          <w:sz w:val="24"/>
          <w:szCs w:val="24"/>
          <w:lang w:val="es-ES"/>
        </w:rPr>
        <w:t>esventajas, en relación con el </w:t>
      </w:r>
      <w:r w:rsidRPr="001A4DC9">
        <w:rPr>
          <w:rFonts w:ascii="Arial" w:hAnsi="Arial" w:cs="Arial"/>
          <w:i/>
          <w:iCs/>
          <w:sz w:val="24"/>
          <w:szCs w:val="24"/>
          <w:lang w:val="es-ES"/>
        </w:rPr>
        <w:t xml:space="preserve">cargo que ocupan y al cual aspiran. En suma, se debe otorgar </w:t>
      </w:r>
      <w:r w:rsidR="00AB3E52" w:rsidRPr="001A4DC9">
        <w:rPr>
          <w:rFonts w:ascii="Arial" w:hAnsi="Arial" w:cs="Arial"/>
          <w:i/>
          <w:iCs/>
          <w:sz w:val="24"/>
          <w:szCs w:val="24"/>
          <w:lang w:val="es-ES"/>
        </w:rPr>
        <w:t>oportunidad abierta</w:t>
      </w:r>
      <w:r w:rsidRPr="001A4DC9">
        <w:rPr>
          <w:rFonts w:ascii="Arial" w:hAnsi="Arial" w:cs="Arial"/>
          <w:i/>
          <w:iCs/>
          <w:sz w:val="24"/>
          <w:szCs w:val="24"/>
          <w:lang w:val="es-ES"/>
        </w:rPr>
        <w:t xml:space="preserve"> e igualitaria a través del señalamiento ampliamente público, claro </w:t>
      </w:r>
      <w:r w:rsidR="00AB3E52" w:rsidRPr="001A4DC9">
        <w:rPr>
          <w:rFonts w:ascii="Arial" w:hAnsi="Arial" w:cs="Arial"/>
          <w:i/>
          <w:iCs/>
          <w:sz w:val="24"/>
          <w:szCs w:val="24"/>
          <w:lang w:val="es-ES"/>
        </w:rPr>
        <w:t>y transparente</w:t>
      </w:r>
      <w:r w:rsidRPr="001A4DC9">
        <w:rPr>
          <w:rFonts w:ascii="Arial" w:hAnsi="Arial" w:cs="Arial"/>
          <w:i/>
          <w:iCs/>
          <w:sz w:val="24"/>
          <w:szCs w:val="24"/>
          <w:lang w:val="es-ES"/>
        </w:rPr>
        <w:t xml:space="preserve"> de los requisitos exigidos para el desempeño del cargo. Por </w:t>
      </w:r>
      <w:r w:rsidR="00E10C89" w:rsidRPr="001A4DC9">
        <w:rPr>
          <w:rFonts w:ascii="Arial" w:hAnsi="Arial" w:cs="Arial"/>
          <w:i/>
          <w:iCs/>
          <w:sz w:val="24"/>
          <w:szCs w:val="24"/>
          <w:lang w:val="es-ES"/>
        </w:rPr>
        <w:t>tanto, no</w:t>
      </w:r>
      <w:r w:rsidRPr="001A4DC9">
        <w:rPr>
          <w:rFonts w:ascii="Arial" w:hAnsi="Arial" w:cs="Arial"/>
          <w:i/>
          <w:iCs/>
          <w:sz w:val="24"/>
          <w:szCs w:val="24"/>
          <w:lang w:val="es-ES"/>
        </w:rPr>
        <w:t xml:space="preserve"> son admisibles las restricciones que impidan o dificulten a quien </w:t>
      </w:r>
      <w:r w:rsidR="00E10C89" w:rsidRPr="001A4DC9">
        <w:rPr>
          <w:rFonts w:ascii="Arial" w:hAnsi="Arial" w:cs="Arial"/>
          <w:i/>
          <w:iCs/>
          <w:sz w:val="24"/>
          <w:szCs w:val="24"/>
          <w:lang w:val="es-ES"/>
        </w:rPr>
        <w:t>no </w:t>
      </w:r>
      <w:r w:rsidR="00AB3E52" w:rsidRPr="001A4DC9">
        <w:rPr>
          <w:rFonts w:ascii="Arial" w:hAnsi="Arial" w:cs="Arial"/>
          <w:i/>
          <w:iCs/>
          <w:sz w:val="24"/>
          <w:szCs w:val="24"/>
          <w:lang w:val="es-ES"/>
        </w:rPr>
        <w:t>hace parte</w:t>
      </w:r>
      <w:r w:rsidRPr="001A4DC9">
        <w:rPr>
          <w:rFonts w:ascii="Arial" w:hAnsi="Arial" w:cs="Arial"/>
          <w:i/>
          <w:iCs/>
          <w:sz w:val="24"/>
          <w:szCs w:val="24"/>
          <w:lang w:val="es-ES"/>
        </w:rPr>
        <w:t xml:space="preserve"> de la </w:t>
      </w:r>
      <w:r w:rsidR="00490D86" w:rsidRPr="001A4DC9">
        <w:rPr>
          <w:rFonts w:ascii="Arial" w:hAnsi="Arial" w:cs="Arial"/>
          <w:i/>
          <w:iCs/>
          <w:sz w:val="24"/>
          <w:szCs w:val="24"/>
          <w:lang w:val="es-ES"/>
        </w:rPr>
        <w:t>administración o de </w:t>
      </w:r>
      <w:r w:rsidRPr="001A4DC9">
        <w:rPr>
          <w:rFonts w:ascii="Arial" w:hAnsi="Arial" w:cs="Arial"/>
          <w:i/>
          <w:iCs/>
          <w:sz w:val="24"/>
          <w:szCs w:val="24"/>
          <w:lang w:val="es-ES"/>
        </w:rPr>
        <w:t>alguna entidad, es decir, a la persona particular que no ha accedido al  servicio, llegar a él con base en sus méritos.</w:t>
      </w:r>
    </w:p>
    <w:p w:rsidR="008E540A" w:rsidRPr="001A4DC9" w:rsidRDefault="008E540A" w:rsidP="00E10C89">
      <w:pPr>
        <w:overflowPunct w:val="0"/>
        <w:autoSpaceDE w:val="0"/>
        <w:autoSpaceDN w:val="0"/>
        <w:spacing w:before="4" w:after="240" w:line="360" w:lineRule="auto"/>
        <w:ind w:left="1276"/>
        <w:jc w:val="both"/>
        <w:textAlignment w:val="baseline"/>
        <w:rPr>
          <w:rFonts w:ascii="Arial" w:hAnsi="Arial" w:cs="Arial"/>
          <w:i/>
          <w:iCs/>
          <w:sz w:val="24"/>
          <w:szCs w:val="24"/>
          <w:lang w:val="es-ES"/>
        </w:rPr>
      </w:pPr>
      <w:r w:rsidRPr="001A4DC9">
        <w:rPr>
          <w:rFonts w:ascii="Arial" w:hAnsi="Arial" w:cs="Arial"/>
          <w:i/>
          <w:iCs/>
          <w:sz w:val="24"/>
          <w:szCs w:val="24"/>
          <w:lang w:val="es-ES"/>
        </w:rPr>
        <w:t xml:space="preserve">74. Finalmente, cuando los Estados establezcan procedimientos para el nombramiento de sus jueces, debe tenerse en cuenta que no cualquier procedimiento satisface </w:t>
      </w:r>
      <w:r w:rsidR="00E10C89" w:rsidRPr="001A4DC9">
        <w:rPr>
          <w:rFonts w:ascii="Arial" w:hAnsi="Arial" w:cs="Arial"/>
          <w:i/>
          <w:iCs/>
          <w:sz w:val="24"/>
          <w:szCs w:val="24"/>
          <w:lang w:val="es-ES"/>
        </w:rPr>
        <w:t>las condiciones</w:t>
      </w:r>
      <w:r w:rsidRPr="001A4DC9">
        <w:rPr>
          <w:rFonts w:ascii="Arial" w:hAnsi="Arial" w:cs="Arial"/>
          <w:i/>
          <w:iCs/>
          <w:sz w:val="24"/>
          <w:szCs w:val="24"/>
          <w:lang w:val="es-ES"/>
        </w:rPr>
        <w:t xml:space="preserve"> que exige la Convención para la implementación adecuada de </w:t>
      </w:r>
      <w:r w:rsidR="00E10C89" w:rsidRPr="001A4DC9">
        <w:rPr>
          <w:rFonts w:ascii="Arial" w:hAnsi="Arial" w:cs="Arial"/>
          <w:i/>
          <w:iCs/>
          <w:sz w:val="24"/>
          <w:szCs w:val="24"/>
          <w:lang w:val="es-ES"/>
        </w:rPr>
        <w:t>un verdadero</w:t>
      </w:r>
      <w:r w:rsidRPr="001A4DC9">
        <w:rPr>
          <w:rFonts w:ascii="Arial" w:hAnsi="Arial" w:cs="Arial"/>
          <w:i/>
          <w:iCs/>
          <w:sz w:val="24"/>
          <w:szCs w:val="24"/>
          <w:lang w:val="es-ES"/>
        </w:rPr>
        <w:t xml:space="preserve"> régimen independiente. (…)</w:t>
      </w:r>
    </w:p>
    <w:p w:rsidR="008E540A" w:rsidRPr="001A4DC9" w:rsidRDefault="008E540A" w:rsidP="00E10C89">
      <w:pPr>
        <w:overflowPunct w:val="0"/>
        <w:autoSpaceDE w:val="0"/>
        <w:autoSpaceDN w:val="0"/>
        <w:spacing w:before="4" w:after="240" w:line="360" w:lineRule="auto"/>
        <w:ind w:left="1276"/>
        <w:jc w:val="both"/>
        <w:textAlignment w:val="baseline"/>
        <w:rPr>
          <w:rFonts w:ascii="Arial" w:hAnsi="Arial" w:cs="Arial"/>
          <w:i/>
          <w:iCs/>
          <w:sz w:val="24"/>
          <w:szCs w:val="24"/>
          <w:lang w:val="es-ES"/>
        </w:rPr>
      </w:pPr>
      <w:r w:rsidRPr="001A4DC9">
        <w:rPr>
          <w:rFonts w:ascii="Arial" w:hAnsi="Arial" w:cs="Arial"/>
          <w:i/>
          <w:iCs/>
          <w:sz w:val="24"/>
          <w:szCs w:val="24"/>
          <w:lang w:val="es-ES"/>
        </w:rPr>
        <w:lastRenderedPageBreak/>
        <w:t xml:space="preserve">- </w:t>
      </w:r>
      <w:r w:rsidRPr="001A4DC9">
        <w:rPr>
          <w:rFonts w:ascii="Arial" w:hAnsi="Arial" w:cs="Arial"/>
          <w:b/>
          <w:bCs/>
          <w:i/>
          <w:iCs/>
          <w:sz w:val="24"/>
          <w:szCs w:val="24"/>
          <w:lang w:val="es-ES"/>
        </w:rPr>
        <w:t>Inamovilidad</w:t>
      </w:r>
    </w:p>
    <w:p w:rsidR="008E540A" w:rsidRPr="001A4DC9" w:rsidRDefault="008E540A" w:rsidP="00E10C89">
      <w:pPr>
        <w:overflowPunct w:val="0"/>
        <w:autoSpaceDE w:val="0"/>
        <w:autoSpaceDN w:val="0"/>
        <w:spacing w:before="4" w:after="240" w:line="360" w:lineRule="auto"/>
        <w:ind w:left="1276"/>
        <w:jc w:val="both"/>
        <w:textAlignment w:val="baseline"/>
        <w:rPr>
          <w:rFonts w:ascii="Arial" w:hAnsi="Arial" w:cs="Arial"/>
          <w:i/>
          <w:iCs/>
          <w:sz w:val="24"/>
          <w:szCs w:val="24"/>
          <w:lang w:val="es-ES"/>
        </w:rPr>
      </w:pPr>
      <w:r w:rsidRPr="001A4DC9">
        <w:rPr>
          <w:rFonts w:ascii="Arial" w:hAnsi="Arial" w:cs="Arial"/>
          <w:i/>
          <w:iCs/>
          <w:sz w:val="24"/>
          <w:szCs w:val="24"/>
          <w:lang w:val="es-ES"/>
        </w:rPr>
        <w:t xml:space="preserve">78. (…) </w:t>
      </w:r>
      <w:r w:rsidRPr="001A4DC9">
        <w:rPr>
          <w:rFonts w:ascii="Arial" w:hAnsi="Arial" w:cs="Arial"/>
          <w:i/>
          <w:iCs/>
          <w:sz w:val="24"/>
          <w:szCs w:val="24"/>
          <w:u w:val="single"/>
          <w:lang w:val="es-ES"/>
        </w:rPr>
        <w:t>[L]</w:t>
      </w:r>
      <w:r w:rsidR="00E10C89" w:rsidRPr="001A4DC9">
        <w:rPr>
          <w:rFonts w:ascii="Arial" w:hAnsi="Arial" w:cs="Arial"/>
          <w:i/>
          <w:iCs/>
          <w:sz w:val="24"/>
          <w:szCs w:val="24"/>
          <w:u w:val="single"/>
          <w:lang w:val="es-ES"/>
        </w:rPr>
        <w:t>a autoridad</w:t>
      </w:r>
      <w:r w:rsidRPr="001A4DC9">
        <w:rPr>
          <w:rFonts w:ascii="Arial" w:hAnsi="Arial" w:cs="Arial"/>
          <w:i/>
          <w:iCs/>
          <w:sz w:val="24"/>
          <w:szCs w:val="24"/>
          <w:u w:val="single"/>
          <w:lang w:val="es-ES"/>
        </w:rPr>
        <w:t xml:space="preserve"> a cargo del proceso de destitución de </w:t>
      </w:r>
      <w:r w:rsidR="00E10C89" w:rsidRPr="001A4DC9">
        <w:rPr>
          <w:rFonts w:ascii="Arial" w:hAnsi="Arial" w:cs="Arial"/>
          <w:i/>
          <w:iCs/>
          <w:sz w:val="24"/>
          <w:szCs w:val="24"/>
          <w:u w:val="single"/>
          <w:lang w:val="es-ES"/>
        </w:rPr>
        <w:t>un juez</w:t>
      </w:r>
      <w:r w:rsidRPr="001A4DC9">
        <w:rPr>
          <w:rFonts w:ascii="Arial" w:hAnsi="Arial" w:cs="Arial"/>
          <w:i/>
          <w:iCs/>
          <w:sz w:val="24"/>
          <w:szCs w:val="24"/>
          <w:u w:val="single"/>
          <w:lang w:val="es-ES"/>
        </w:rPr>
        <w:t xml:space="preserve"> debe conducirse independiente </w:t>
      </w:r>
      <w:r w:rsidR="00E10C89" w:rsidRPr="001A4DC9">
        <w:rPr>
          <w:rFonts w:ascii="Arial" w:hAnsi="Arial" w:cs="Arial"/>
          <w:i/>
          <w:iCs/>
          <w:sz w:val="24"/>
          <w:szCs w:val="24"/>
          <w:u w:val="single"/>
          <w:lang w:val="es-ES"/>
        </w:rPr>
        <w:t>e imparcialmente</w:t>
      </w:r>
      <w:r w:rsidRPr="001A4DC9">
        <w:rPr>
          <w:rFonts w:ascii="Arial" w:hAnsi="Arial" w:cs="Arial"/>
          <w:i/>
          <w:iCs/>
          <w:sz w:val="24"/>
          <w:szCs w:val="24"/>
          <w:u w:val="single"/>
          <w:lang w:val="es-ES"/>
        </w:rPr>
        <w:t xml:space="preserve"> en el procedimiento establecido para el efecto y permitir </w:t>
      </w:r>
      <w:r w:rsidR="00E10C89" w:rsidRPr="001A4DC9">
        <w:rPr>
          <w:rFonts w:ascii="Arial" w:hAnsi="Arial" w:cs="Arial"/>
          <w:i/>
          <w:iCs/>
          <w:sz w:val="24"/>
          <w:szCs w:val="24"/>
          <w:u w:val="single"/>
          <w:lang w:val="es-ES"/>
        </w:rPr>
        <w:t>el ejercicio</w:t>
      </w:r>
      <w:r w:rsidRPr="001A4DC9">
        <w:rPr>
          <w:rFonts w:ascii="Arial" w:hAnsi="Arial" w:cs="Arial"/>
          <w:i/>
          <w:iCs/>
          <w:sz w:val="24"/>
          <w:szCs w:val="24"/>
          <w:u w:val="single"/>
          <w:lang w:val="es-ES"/>
        </w:rPr>
        <w:t xml:space="preserve"> del derecho de defensa</w:t>
      </w:r>
      <w:r w:rsidRPr="001A4DC9">
        <w:rPr>
          <w:rFonts w:ascii="Arial" w:hAnsi="Arial" w:cs="Arial"/>
          <w:i/>
          <w:iCs/>
          <w:sz w:val="24"/>
          <w:szCs w:val="24"/>
          <w:lang w:val="es-ES"/>
        </w:rPr>
        <w:t xml:space="preserve">. Ello es así toda vez que la libre remoción </w:t>
      </w:r>
      <w:r w:rsidR="00E10C89" w:rsidRPr="001A4DC9">
        <w:rPr>
          <w:rFonts w:ascii="Arial" w:hAnsi="Arial" w:cs="Arial"/>
          <w:i/>
          <w:iCs/>
          <w:sz w:val="24"/>
          <w:szCs w:val="24"/>
          <w:lang w:val="es-ES"/>
        </w:rPr>
        <w:t>de jueces</w:t>
      </w:r>
      <w:r w:rsidRPr="001A4DC9">
        <w:rPr>
          <w:rFonts w:ascii="Arial" w:hAnsi="Arial" w:cs="Arial"/>
          <w:i/>
          <w:iCs/>
          <w:sz w:val="24"/>
          <w:szCs w:val="24"/>
          <w:lang w:val="es-ES"/>
        </w:rPr>
        <w:t xml:space="preserve"> fomenta la duda objetiva del observador sobre la posibilidad efectiva </w:t>
      </w:r>
      <w:r w:rsidR="00E10C89" w:rsidRPr="001A4DC9">
        <w:rPr>
          <w:rFonts w:ascii="Arial" w:hAnsi="Arial" w:cs="Arial"/>
          <w:i/>
          <w:iCs/>
          <w:sz w:val="24"/>
          <w:szCs w:val="24"/>
          <w:lang w:val="es-ES"/>
        </w:rPr>
        <w:t>de aquellos</w:t>
      </w:r>
      <w:r w:rsidRPr="001A4DC9">
        <w:rPr>
          <w:rFonts w:ascii="Arial" w:hAnsi="Arial" w:cs="Arial"/>
          <w:i/>
          <w:iCs/>
          <w:sz w:val="24"/>
          <w:szCs w:val="24"/>
          <w:lang w:val="es-ES"/>
        </w:rPr>
        <w:t xml:space="preserve"> de decidir controversias concretas sin temor a represalias.</w:t>
      </w:r>
    </w:p>
    <w:p w:rsidR="008E540A" w:rsidRPr="001A4DC9" w:rsidRDefault="008E540A" w:rsidP="00E10C89">
      <w:pPr>
        <w:overflowPunct w:val="0"/>
        <w:autoSpaceDE w:val="0"/>
        <w:autoSpaceDN w:val="0"/>
        <w:spacing w:before="4" w:after="240" w:line="360" w:lineRule="auto"/>
        <w:ind w:left="1276"/>
        <w:jc w:val="both"/>
        <w:textAlignment w:val="baseline"/>
        <w:rPr>
          <w:rFonts w:ascii="Arial" w:hAnsi="Arial" w:cs="Arial"/>
          <w:i/>
          <w:iCs/>
          <w:sz w:val="24"/>
          <w:szCs w:val="24"/>
          <w:lang w:val="es-ES"/>
        </w:rPr>
      </w:pPr>
      <w:r w:rsidRPr="001A4DC9">
        <w:rPr>
          <w:rFonts w:ascii="Arial" w:hAnsi="Arial" w:cs="Arial"/>
          <w:i/>
          <w:iCs/>
          <w:sz w:val="24"/>
          <w:szCs w:val="24"/>
          <w:lang w:val="es-ES"/>
        </w:rPr>
        <w:t xml:space="preserve">79. De todo esto </w:t>
      </w:r>
      <w:r w:rsidR="00E10C89" w:rsidRPr="001A4DC9">
        <w:rPr>
          <w:rFonts w:ascii="Arial" w:hAnsi="Arial" w:cs="Arial"/>
          <w:i/>
          <w:iCs/>
          <w:sz w:val="24"/>
          <w:szCs w:val="24"/>
          <w:lang w:val="es-ES"/>
        </w:rPr>
        <w:t>se puede</w:t>
      </w:r>
      <w:r w:rsidRPr="001A4DC9">
        <w:rPr>
          <w:rFonts w:ascii="Arial" w:hAnsi="Arial" w:cs="Arial"/>
          <w:i/>
          <w:iCs/>
          <w:sz w:val="24"/>
          <w:szCs w:val="24"/>
          <w:lang w:val="es-ES"/>
        </w:rPr>
        <w:t xml:space="preserve"> concluir que la inamovilidad es una garantía de la independencia </w:t>
      </w:r>
      <w:r w:rsidR="00E10C89" w:rsidRPr="001A4DC9">
        <w:rPr>
          <w:rFonts w:ascii="Arial" w:hAnsi="Arial" w:cs="Arial"/>
          <w:i/>
          <w:iCs/>
          <w:sz w:val="24"/>
          <w:szCs w:val="24"/>
          <w:lang w:val="es-ES"/>
        </w:rPr>
        <w:t>judicial que</w:t>
      </w:r>
      <w:r w:rsidRPr="001A4DC9">
        <w:rPr>
          <w:rFonts w:ascii="Arial" w:hAnsi="Arial" w:cs="Arial"/>
          <w:i/>
          <w:iCs/>
          <w:sz w:val="24"/>
          <w:szCs w:val="24"/>
          <w:lang w:val="es-ES"/>
        </w:rPr>
        <w:t xml:space="preserve"> a su vez está compuesta por las siguientes garantías: permanenci</w:t>
      </w:r>
      <w:r w:rsidR="00AB3E52" w:rsidRPr="001A4DC9">
        <w:rPr>
          <w:rFonts w:ascii="Arial" w:hAnsi="Arial" w:cs="Arial"/>
          <w:i/>
          <w:iCs/>
          <w:sz w:val="24"/>
          <w:szCs w:val="24"/>
          <w:lang w:val="es-ES"/>
        </w:rPr>
        <w:t>a en el </w:t>
      </w:r>
      <w:r w:rsidRPr="001A4DC9">
        <w:rPr>
          <w:rFonts w:ascii="Arial" w:hAnsi="Arial" w:cs="Arial"/>
          <w:i/>
          <w:iCs/>
          <w:sz w:val="24"/>
          <w:szCs w:val="24"/>
          <w:lang w:val="es-ES"/>
        </w:rPr>
        <w:t xml:space="preserve">cargo, un proceso de ascensos adecuado y no despido injustificado o </w:t>
      </w:r>
      <w:r w:rsidR="00AB3E52" w:rsidRPr="001A4DC9">
        <w:rPr>
          <w:rFonts w:ascii="Arial" w:hAnsi="Arial" w:cs="Arial"/>
          <w:i/>
          <w:iCs/>
          <w:sz w:val="24"/>
          <w:szCs w:val="24"/>
          <w:lang w:val="es-ES"/>
        </w:rPr>
        <w:t>libre remoción</w:t>
      </w:r>
      <w:r w:rsidR="00490D86" w:rsidRPr="001A4DC9">
        <w:rPr>
          <w:rFonts w:ascii="Arial" w:hAnsi="Arial" w:cs="Arial"/>
          <w:i/>
          <w:iCs/>
          <w:sz w:val="24"/>
          <w:szCs w:val="24"/>
          <w:lang w:val="es-ES"/>
        </w:rPr>
        <w:t xml:space="preserve">. Quiere decir esto </w:t>
      </w:r>
      <w:r w:rsidRPr="001A4DC9">
        <w:rPr>
          <w:rFonts w:ascii="Arial" w:hAnsi="Arial" w:cs="Arial"/>
          <w:i/>
          <w:iCs/>
          <w:sz w:val="24"/>
          <w:szCs w:val="24"/>
          <w:lang w:val="es-ES"/>
        </w:rPr>
        <w:t xml:space="preserve">que si el Estado incumple una de estas </w:t>
      </w:r>
      <w:r w:rsidR="00AB3E52" w:rsidRPr="001A4DC9">
        <w:rPr>
          <w:rFonts w:ascii="Arial" w:hAnsi="Arial" w:cs="Arial"/>
          <w:i/>
          <w:iCs/>
          <w:sz w:val="24"/>
          <w:szCs w:val="24"/>
          <w:lang w:val="es-ES"/>
        </w:rPr>
        <w:t>garantías, afecta</w:t>
      </w:r>
      <w:r w:rsidRPr="001A4DC9">
        <w:rPr>
          <w:rFonts w:ascii="Arial" w:hAnsi="Arial" w:cs="Arial"/>
          <w:i/>
          <w:iCs/>
          <w:sz w:val="24"/>
          <w:szCs w:val="24"/>
          <w:lang w:val="es-ES"/>
        </w:rPr>
        <w:t xml:space="preserve"> la inamovilidad y, por tanto, no está cumpliendo con su obligación </w:t>
      </w:r>
      <w:r w:rsidR="00AB3E52" w:rsidRPr="001A4DC9">
        <w:rPr>
          <w:rFonts w:ascii="Arial" w:hAnsi="Arial" w:cs="Arial"/>
          <w:i/>
          <w:iCs/>
          <w:sz w:val="24"/>
          <w:szCs w:val="24"/>
          <w:lang w:val="es-ES"/>
        </w:rPr>
        <w:t>de garantizar</w:t>
      </w:r>
      <w:r w:rsidRPr="001A4DC9">
        <w:rPr>
          <w:rFonts w:ascii="Arial" w:hAnsi="Arial" w:cs="Arial"/>
          <w:i/>
          <w:iCs/>
          <w:sz w:val="24"/>
          <w:szCs w:val="24"/>
          <w:lang w:val="es-ES"/>
        </w:rPr>
        <w:t xml:space="preserve"> la independencia judicial.</w:t>
      </w:r>
    </w:p>
    <w:p w:rsidR="008E540A" w:rsidRPr="001A4DC9" w:rsidRDefault="008E540A" w:rsidP="00E10C89">
      <w:pPr>
        <w:overflowPunct w:val="0"/>
        <w:autoSpaceDE w:val="0"/>
        <w:autoSpaceDN w:val="0"/>
        <w:spacing w:before="4" w:after="240" w:line="360" w:lineRule="auto"/>
        <w:ind w:left="1276"/>
        <w:jc w:val="both"/>
        <w:textAlignment w:val="baseline"/>
        <w:rPr>
          <w:rFonts w:ascii="Arial" w:hAnsi="Arial" w:cs="Arial"/>
          <w:b/>
          <w:bCs/>
          <w:i/>
          <w:iCs/>
          <w:sz w:val="24"/>
          <w:szCs w:val="24"/>
          <w:lang w:val="es-ES"/>
        </w:rPr>
      </w:pPr>
      <w:r w:rsidRPr="001A4DC9">
        <w:rPr>
          <w:rFonts w:ascii="Arial" w:hAnsi="Arial" w:cs="Arial"/>
          <w:b/>
          <w:bCs/>
          <w:i/>
          <w:iCs/>
          <w:sz w:val="24"/>
          <w:szCs w:val="24"/>
          <w:lang w:val="es-ES"/>
        </w:rPr>
        <w:t>- Garantía contra presiones externas</w:t>
      </w:r>
    </w:p>
    <w:p w:rsidR="008E540A" w:rsidRPr="001A4DC9" w:rsidRDefault="008E540A" w:rsidP="00E10C89">
      <w:pPr>
        <w:overflowPunct w:val="0"/>
        <w:autoSpaceDE w:val="0"/>
        <w:autoSpaceDN w:val="0"/>
        <w:spacing w:before="4" w:after="240" w:line="360" w:lineRule="auto"/>
        <w:ind w:left="1276"/>
        <w:jc w:val="both"/>
        <w:textAlignment w:val="baseline"/>
        <w:rPr>
          <w:rFonts w:ascii="Arial" w:hAnsi="Arial" w:cs="Arial"/>
          <w:i/>
          <w:iCs/>
          <w:sz w:val="24"/>
          <w:szCs w:val="24"/>
          <w:lang w:val="es-ES"/>
        </w:rPr>
      </w:pPr>
      <w:r w:rsidRPr="001A4DC9">
        <w:rPr>
          <w:rFonts w:ascii="Arial" w:hAnsi="Arial" w:cs="Arial"/>
          <w:i/>
          <w:iCs/>
          <w:sz w:val="24"/>
          <w:szCs w:val="24"/>
          <w:lang w:val="es-ES"/>
        </w:rPr>
        <w:t xml:space="preserve">80. Los </w:t>
      </w:r>
      <w:r w:rsidR="00E10C89" w:rsidRPr="001A4DC9">
        <w:rPr>
          <w:rFonts w:ascii="Arial" w:hAnsi="Arial" w:cs="Arial"/>
          <w:i/>
          <w:iCs/>
          <w:sz w:val="24"/>
          <w:szCs w:val="24"/>
          <w:lang w:val="es-ES"/>
        </w:rPr>
        <w:t>Principios Básicos</w:t>
      </w:r>
      <w:r w:rsidRPr="001A4DC9">
        <w:rPr>
          <w:rFonts w:ascii="Arial" w:hAnsi="Arial" w:cs="Arial"/>
          <w:i/>
          <w:iCs/>
          <w:sz w:val="24"/>
          <w:szCs w:val="24"/>
          <w:lang w:val="es-ES"/>
        </w:rPr>
        <w:t xml:space="preserve"> disponen que los jueces resolverán los asuntos que conozcan “</w:t>
      </w:r>
      <w:r w:rsidR="00AB3E52" w:rsidRPr="001A4DC9">
        <w:rPr>
          <w:rFonts w:ascii="Arial" w:hAnsi="Arial" w:cs="Arial"/>
          <w:i/>
          <w:iCs/>
          <w:sz w:val="24"/>
          <w:szCs w:val="24"/>
          <w:lang w:val="es-ES"/>
        </w:rPr>
        <w:t>basándose en</w:t>
      </w:r>
      <w:r w:rsidRPr="001A4DC9">
        <w:rPr>
          <w:rFonts w:ascii="Arial" w:hAnsi="Arial" w:cs="Arial"/>
          <w:i/>
          <w:iCs/>
          <w:sz w:val="24"/>
          <w:szCs w:val="24"/>
          <w:lang w:val="es-ES"/>
        </w:rPr>
        <w:t xml:space="preserve"> los hechos y en consonancia con el derecho, sin restricción alguna y </w:t>
      </w:r>
      <w:r w:rsidR="00AB3E52" w:rsidRPr="001A4DC9">
        <w:rPr>
          <w:rFonts w:ascii="Arial" w:hAnsi="Arial" w:cs="Arial"/>
          <w:i/>
          <w:iCs/>
          <w:sz w:val="24"/>
          <w:szCs w:val="24"/>
          <w:lang w:val="es-ES"/>
        </w:rPr>
        <w:t>sin influencias</w:t>
      </w:r>
      <w:r w:rsidRPr="001A4DC9">
        <w:rPr>
          <w:rFonts w:ascii="Arial" w:hAnsi="Arial" w:cs="Arial"/>
          <w:i/>
          <w:iCs/>
          <w:sz w:val="24"/>
          <w:szCs w:val="24"/>
          <w:lang w:val="es-ES"/>
        </w:rPr>
        <w:t xml:space="preserve">, alicientes, presiones, amenazas o intromisiones indebidas, </w:t>
      </w:r>
      <w:r w:rsidR="00AB3E52" w:rsidRPr="001A4DC9">
        <w:rPr>
          <w:rFonts w:ascii="Arial" w:hAnsi="Arial" w:cs="Arial"/>
          <w:i/>
          <w:iCs/>
          <w:sz w:val="24"/>
          <w:szCs w:val="24"/>
          <w:lang w:val="es-ES"/>
        </w:rPr>
        <w:t>sean directas</w:t>
      </w:r>
      <w:r w:rsidRPr="001A4DC9">
        <w:rPr>
          <w:rFonts w:ascii="Arial" w:hAnsi="Arial" w:cs="Arial"/>
          <w:i/>
          <w:iCs/>
          <w:sz w:val="24"/>
          <w:szCs w:val="24"/>
          <w:lang w:val="es-ES"/>
        </w:rPr>
        <w:t xml:space="preserve"> o indirectas, de cualesquiera sectores o por cualquier motivo”.  Asimismo, dichos principios establecen que la judicatura “tendrá </w:t>
      </w:r>
      <w:r w:rsidR="00E10C89" w:rsidRPr="001A4DC9">
        <w:rPr>
          <w:rFonts w:ascii="Arial" w:hAnsi="Arial" w:cs="Arial"/>
          <w:i/>
          <w:iCs/>
          <w:sz w:val="24"/>
          <w:szCs w:val="24"/>
          <w:lang w:val="es-ES"/>
        </w:rPr>
        <w:t>autoridad exclusiva</w:t>
      </w:r>
      <w:r w:rsidRPr="001A4DC9">
        <w:rPr>
          <w:rFonts w:ascii="Arial" w:hAnsi="Arial" w:cs="Arial"/>
          <w:i/>
          <w:iCs/>
          <w:sz w:val="24"/>
          <w:szCs w:val="24"/>
          <w:lang w:val="es-ES"/>
        </w:rPr>
        <w:t xml:space="preserve"> para decidir si una cuestión que le haya sido sometida está dentro </w:t>
      </w:r>
      <w:r w:rsidR="00AB3E52" w:rsidRPr="001A4DC9">
        <w:rPr>
          <w:rFonts w:ascii="Arial" w:hAnsi="Arial" w:cs="Arial"/>
          <w:i/>
          <w:iCs/>
          <w:sz w:val="24"/>
          <w:szCs w:val="24"/>
          <w:lang w:val="es-ES"/>
        </w:rPr>
        <w:t>de la</w:t>
      </w:r>
      <w:r w:rsidRPr="001A4DC9">
        <w:rPr>
          <w:rFonts w:ascii="Arial" w:hAnsi="Arial" w:cs="Arial"/>
          <w:i/>
          <w:iCs/>
          <w:sz w:val="24"/>
          <w:szCs w:val="24"/>
          <w:lang w:val="es-ES"/>
        </w:rPr>
        <w:t xml:space="preserve"> competencia que le haya atribuido la ley” y que “[n]o se </w:t>
      </w:r>
      <w:r w:rsidR="00AB3E52" w:rsidRPr="001A4DC9">
        <w:rPr>
          <w:rFonts w:ascii="Arial" w:hAnsi="Arial" w:cs="Arial"/>
          <w:i/>
          <w:iCs/>
          <w:sz w:val="24"/>
          <w:szCs w:val="24"/>
          <w:lang w:val="es-ES"/>
        </w:rPr>
        <w:t>efectuarán intromisiones</w:t>
      </w:r>
      <w:r w:rsidRPr="001A4DC9">
        <w:rPr>
          <w:rFonts w:ascii="Arial" w:hAnsi="Arial" w:cs="Arial"/>
          <w:i/>
          <w:iCs/>
          <w:sz w:val="24"/>
          <w:szCs w:val="24"/>
          <w:lang w:val="es-ES"/>
        </w:rPr>
        <w:t xml:space="preserve"> indebidas o injustificadas en el proceso judicial”.</w:t>
      </w:r>
    </w:p>
    <w:p w:rsidR="008E540A" w:rsidRPr="001A4DC9" w:rsidRDefault="008E540A" w:rsidP="00E10C89">
      <w:pPr>
        <w:overflowPunct w:val="0"/>
        <w:autoSpaceDE w:val="0"/>
        <w:autoSpaceDN w:val="0"/>
        <w:spacing w:before="4" w:after="240" w:line="360" w:lineRule="auto"/>
        <w:ind w:left="1276"/>
        <w:jc w:val="both"/>
        <w:textAlignment w:val="baseline"/>
        <w:rPr>
          <w:rFonts w:ascii="Arial" w:hAnsi="Arial" w:cs="Arial"/>
          <w:i/>
          <w:iCs/>
          <w:sz w:val="24"/>
          <w:szCs w:val="24"/>
          <w:lang w:val="es-ES"/>
        </w:rPr>
      </w:pPr>
      <w:r w:rsidRPr="001A4DC9">
        <w:rPr>
          <w:rFonts w:ascii="Arial" w:hAnsi="Arial" w:cs="Arial"/>
          <w:i/>
          <w:iCs/>
          <w:sz w:val="24"/>
          <w:szCs w:val="24"/>
          <w:lang w:val="es-ES"/>
        </w:rPr>
        <w:t>81.(</w:t>
      </w:r>
      <w:r w:rsidR="00E10C89" w:rsidRPr="001A4DC9">
        <w:rPr>
          <w:rFonts w:ascii="Arial" w:hAnsi="Arial" w:cs="Arial"/>
          <w:i/>
          <w:iCs/>
          <w:sz w:val="24"/>
          <w:szCs w:val="24"/>
          <w:lang w:val="es-ES"/>
        </w:rPr>
        <w:t>…) [</w:t>
      </w:r>
      <w:r w:rsidRPr="001A4DC9">
        <w:rPr>
          <w:rFonts w:ascii="Arial" w:hAnsi="Arial" w:cs="Arial"/>
          <w:i/>
          <w:iCs/>
          <w:sz w:val="24"/>
          <w:szCs w:val="24"/>
          <w:lang w:val="es-ES"/>
        </w:rPr>
        <w:t xml:space="preserve">L]os jueces cuentan con varias garantías </w:t>
      </w:r>
      <w:r w:rsidR="00E10C89" w:rsidRPr="001A4DC9">
        <w:rPr>
          <w:rFonts w:ascii="Arial" w:hAnsi="Arial" w:cs="Arial"/>
          <w:i/>
          <w:iCs/>
          <w:sz w:val="24"/>
          <w:szCs w:val="24"/>
          <w:lang w:val="es-ES"/>
        </w:rPr>
        <w:t>que refuerzan</w:t>
      </w:r>
      <w:r w:rsidRPr="001A4DC9">
        <w:rPr>
          <w:rFonts w:ascii="Arial" w:hAnsi="Arial" w:cs="Arial"/>
          <w:i/>
          <w:iCs/>
          <w:sz w:val="24"/>
          <w:szCs w:val="24"/>
          <w:lang w:val="es-ES"/>
        </w:rPr>
        <w:t xml:space="preserve"> su estabilidad en el cargo con miras a garantizar la independencia </w:t>
      </w:r>
      <w:r w:rsidR="00E10C89" w:rsidRPr="001A4DC9">
        <w:rPr>
          <w:rFonts w:ascii="Arial" w:hAnsi="Arial" w:cs="Arial"/>
          <w:i/>
          <w:iCs/>
          <w:sz w:val="24"/>
          <w:szCs w:val="24"/>
          <w:lang w:val="es-ES"/>
        </w:rPr>
        <w:t>de ellos</w:t>
      </w:r>
      <w:r w:rsidRPr="001A4DC9">
        <w:rPr>
          <w:rFonts w:ascii="Arial" w:hAnsi="Arial" w:cs="Arial"/>
          <w:i/>
          <w:iCs/>
          <w:sz w:val="24"/>
          <w:szCs w:val="24"/>
          <w:lang w:val="es-ES"/>
        </w:rPr>
        <w:t xml:space="preserve"> </w:t>
      </w:r>
      <w:r w:rsidRPr="001A4DC9">
        <w:rPr>
          <w:rFonts w:ascii="Arial" w:hAnsi="Arial" w:cs="Arial"/>
          <w:i/>
          <w:iCs/>
          <w:sz w:val="24"/>
          <w:szCs w:val="24"/>
          <w:lang w:val="es-ES"/>
        </w:rPr>
        <w:lastRenderedPageBreak/>
        <w:t xml:space="preserve">mismos y del sistema, así como también la apariencia de </w:t>
      </w:r>
      <w:r w:rsidR="00E10C89" w:rsidRPr="001A4DC9">
        <w:rPr>
          <w:rFonts w:ascii="Arial" w:hAnsi="Arial" w:cs="Arial"/>
          <w:i/>
          <w:iCs/>
          <w:sz w:val="24"/>
          <w:szCs w:val="24"/>
          <w:lang w:val="es-ES"/>
        </w:rPr>
        <w:t>independencia frente</w:t>
      </w:r>
      <w:r w:rsidRPr="001A4DC9">
        <w:rPr>
          <w:rFonts w:ascii="Arial" w:hAnsi="Arial" w:cs="Arial"/>
          <w:i/>
          <w:iCs/>
          <w:sz w:val="24"/>
          <w:szCs w:val="24"/>
          <w:lang w:val="es-ES"/>
        </w:rPr>
        <w:t xml:space="preserve"> al justiciable y la sociedad. (</w:t>
      </w:r>
      <w:r w:rsidR="00E10C89" w:rsidRPr="001A4DC9">
        <w:rPr>
          <w:rFonts w:ascii="Arial" w:hAnsi="Arial" w:cs="Arial"/>
          <w:i/>
          <w:iCs/>
          <w:sz w:val="24"/>
          <w:szCs w:val="24"/>
          <w:lang w:val="es-ES"/>
        </w:rPr>
        <w:t>…) [</w:t>
      </w:r>
      <w:r w:rsidRPr="001A4DC9">
        <w:rPr>
          <w:rFonts w:ascii="Arial" w:hAnsi="Arial" w:cs="Arial"/>
          <w:i/>
          <w:iCs/>
          <w:sz w:val="24"/>
          <w:szCs w:val="24"/>
          <w:lang w:val="es-ES"/>
        </w:rPr>
        <w:t xml:space="preserve">L]a garantía de inamovilidad </w:t>
      </w:r>
      <w:r w:rsidR="00E10C89" w:rsidRPr="001A4DC9">
        <w:rPr>
          <w:rFonts w:ascii="Arial" w:hAnsi="Arial" w:cs="Arial"/>
          <w:i/>
          <w:iCs/>
          <w:sz w:val="24"/>
          <w:szCs w:val="24"/>
          <w:lang w:val="es-ES"/>
        </w:rPr>
        <w:t>debe operar</w:t>
      </w:r>
      <w:r w:rsidRPr="001A4DC9">
        <w:rPr>
          <w:rFonts w:ascii="Arial" w:hAnsi="Arial" w:cs="Arial"/>
          <w:i/>
          <w:iCs/>
          <w:sz w:val="24"/>
          <w:szCs w:val="24"/>
          <w:lang w:val="es-ES"/>
        </w:rPr>
        <w:t xml:space="preserve"> para permitir el reintegro a la condición de magistrado de quien </w:t>
      </w:r>
      <w:r w:rsidR="00E10C89" w:rsidRPr="001A4DC9">
        <w:rPr>
          <w:rFonts w:ascii="Arial" w:hAnsi="Arial" w:cs="Arial"/>
          <w:i/>
          <w:iCs/>
          <w:sz w:val="24"/>
          <w:szCs w:val="24"/>
          <w:lang w:val="es-ES"/>
        </w:rPr>
        <w:t>fue arbitrariamente</w:t>
      </w:r>
      <w:r w:rsidRPr="001A4DC9">
        <w:rPr>
          <w:rFonts w:ascii="Arial" w:hAnsi="Arial" w:cs="Arial"/>
          <w:i/>
          <w:iCs/>
          <w:sz w:val="24"/>
          <w:szCs w:val="24"/>
          <w:lang w:val="es-ES"/>
        </w:rPr>
        <w:t xml:space="preserve"> privado de ella. (</w:t>
      </w:r>
      <w:r w:rsidR="00E10C89" w:rsidRPr="001A4DC9">
        <w:rPr>
          <w:rFonts w:ascii="Arial" w:hAnsi="Arial" w:cs="Arial"/>
          <w:i/>
          <w:iCs/>
          <w:sz w:val="24"/>
          <w:szCs w:val="24"/>
          <w:lang w:val="es-ES"/>
        </w:rPr>
        <w:t>…) [</w:t>
      </w:r>
      <w:r w:rsidRPr="001A4DC9">
        <w:rPr>
          <w:rFonts w:ascii="Arial" w:hAnsi="Arial" w:cs="Arial"/>
          <w:i/>
          <w:iCs/>
          <w:sz w:val="24"/>
          <w:szCs w:val="24"/>
          <w:lang w:val="es-ES"/>
        </w:rPr>
        <w:t xml:space="preserve">D]e lo contrario los Estados </w:t>
      </w:r>
      <w:r w:rsidR="00E10C89" w:rsidRPr="001A4DC9">
        <w:rPr>
          <w:rFonts w:ascii="Arial" w:hAnsi="Arial" w:cs="Arial"/>
          <w:i/>
          <w:iCs/>
          <w:sz w:val="24"/>
          <w:szCs w:val="24"/>
          <w:lang w:val="es-ES"/>
        </w:rPr>
        <w:t>podrían remover</w:t>
      </w:r>
      <w:r w:rsidRPr="001A4DC9">
        <w:rPr>
          <w:rFonts w:ascii="Arial" w:hAnsi="Arial" w:cs="Arial"/>
          <w:i/>
          <w:iCs/>
          <w:sz w:val="24"/>
          <w:szCs w:val="24"/>
          <w:lang w:val="es-ES"/>
        </w:rPr>
        <w:t xml:space="preserve"> a los jueces e intervenir de ese modo en el Poder Judicial sin </w:t>
      </w:r>
      <w:r w:rsidR="00E10C89" w:rsidRPr="001A4DC9">
        <w:rPr>
          <w:rFonts w:ascii="Arial" w:hAnsi="Arial" w:cs="Arial"/>
          <w:i/>
          <w:iCs/>
          <w:sz w:val="24"/>
          <w:szCs w:val="24"/>
          <w:lang w:val="es-ES"/>
        </w:rPr>
        <w:t>mayores costos</w:t>
      </w:r>
      <w:r w:rsidRPr="001A4DC9">
        <w:rPr>
          <w:rFonts w:ascii="Arial" w:hAnsi="Arial" w:cs="Arial"/>
          <w:i/>
          <w:iCs/>
          <w:sz w:val="24"/>
          <w:szCs w:val="24"/>
          <w:lang w:val="es-ES"/>
        </w:rPr>
        <w:t xml:space="preserve"> o control. (…). Por tanto, un recurso que declara la nulidad de </w:t>
      </w:r>
      <w:r w:rsidR="00E10C89" w:rsidRPr="001A4DC9">
        <w:rPr>
          <w:rFonts w:ascii="Arial" w:hAnsi="Arial" w:cs="Arial"/>
          <w:i/>
          <w:iCs/>
          <w:sz w:val="24"/>
          <w:szCs w:val="24"/>
          <w:lang w:val="es-ES"/>
        </w:rPr>
        <w:t>una destitución</w:t>
      </w:r>
      <w:r w:rsidRPr="001A4DC9">
        <w:rPr>
          <w:rFonts w:ascii="Arial" w:hAnsi="Arial" w:cs="Arial"/>
          <w:i/>
          <w:iCs/>
          <w:sz w:val="24"/>
          <w:szCs w:val="24"/>
          <w:lang w:val="es-ES"/>
        </w:rPr>
        <w:t xml:space="preserve"> de un juez por no haber sido ajustada a la ley debe </w:t>
      </w:r>
      <w:r w:rsidR="00E10C89" w:rsidRPr="001A4DC9">
        <w:rPr>
          <w:rFonts w:ascii="Arial" w:hAnsi="Arial" w:cs="Arial"/>
          <w:i/>
          <w:iCs/>
          <w:sz w:val="24"/>
          <w:szCs w:val="24"/>
          <w:lang w:val="es-ES"/>
        </w:rPr>
        <w:t>llevar necesariamente</w:t>
      </w:r>
      <w:r w:rsidRPr="001A4DC9">
        <w:rPr>
          <w:rFonts w:ascii="Arial" w:hAnsi="Arial" w:cs="Arial"/>
          <w:i/>
          <w:iCs/>
          <w:sz w:val="24"/>
          <w:szCs w:val="24"/>
          <w:lang w:val="es-ES"/>
        </w:rPr>
        <w:t xml:space="preserve"> a la reincorporación. En el presente caso, el recurso de </w:t>
      </w:r>
      <w:r w:rsidR="00E10C89" w:rsidRPr="001A4DC9">
        <w:rPr>
          <w:rFonts w:ascii="Arial" w:hAnsi="Arial" w:cs="Arial"/>
          <w:i/>
          <w:iCs/>
          <w:sz w:val="24"/>
          <w:szCs w:val="24"/>
          <w:lang w:val="es-ES"/>
        </w:rPr>
        <w:t>nulidad era</w:t>
      </w:r>
      <w:r w:rsidRPr="001A4DC9">
        <w:rPr>
          <w:rFonts w:ascii="Arial" w:hAnsi="Arial" w:cs="Arial"/>
          <w:i/>
          <w:iCs/>
          <w:sz w:val="24"/>
          <w:szCs w:val="24"/>
          <w:lang w:val="es-ES"/>
        </w:rPr>
        <w:t xml:space="preserve"> el idóneo porque declaró la nulidad y, como lo afirma la propia </w:t>
      </w:r>
      <w:r w:rsidR="00E10C89" w:rsidRPr="001A4DC9">
        <w:rPr>
          <w:rFonts w:ascii="Arial" w:hAnsi="Arial" w:cs="Arial"/>
          <w:i/>
          <w:iCs/>
          <w:sz w:val="24"/>
          <w:szCs w:val="24"/>
          <w:lang w:val="es-ES"/>
        </w:rPr>
        <w:t>SPA, hubiera</w:t>
      </w:r>
      <w:r w:rsidRPr="001A4DC9">
        <w:rPr>
          <w:rFonts w:ascii="Arial" w:hAnsi="Arial" w:cs="Arial"/>
          <w:i/>
          <w:iCs/>
          <w:sz w:val="24"/>
          <w:szCs w:val="24"/>
          <w:lang w:val="es-ES"/>
        </w:rPr>
        <w:t xml:space="preserve"> podido llevar a la reincorporación de la señora Reverón Trujillo. </w:t>
      </w:r>
      <w:r w:rsidR="00E10C89" w:rsidRPr="001A4DC9">
        <w:rPr>
          <w:rFonts w:ascii="Arial" w:hAnsi="Arial" w:cs="Arial"/>
          <w:i/>
          <w:iCs/>
          <w:sz w:val="24"/>
          <w:szCs w:val="24"/>
          <w:lang w:val="es-ES"/>
        </w:rPr>
        <w:t>La pregunta</w:t>
      </w:r>
      <w:r w:rsidRPr="001A4DC9">
        <w:rPr>
          <w:rFonts w:ascii="Arial" w:hAnsi="Arial" w:cs="Arial"/>
          <w:i/>
          <w:iCs/>
          <w:sz w:val="24"/>
          <w:szCs w:val="24"/>
          <w:lang w:val="es-ES"/>
        </w:rPr>
        <w:t xml:space="preserve"> que surge de esto es si las razones adelantadas por la SPA para </w:t>
      </w:r>
      <w:r w:rsidR="00E10C89" w:rsidRPr="001A4DC9">
        <w:rPr>
          <w:rFonts w:ascii="Arial" w:hAnsi="Arial" w:cs="Arial"/>
          <w:i/>
          <w:iCs/>
          <w:sz w:val="24"/>
          <w:szCs w:val="24"/>
          <w:lang w:val="es-ES"/>
        </w:rPr>
        <w:t>no reincorporarla</w:t>
      </w:r>
      <w:r w:rsidRPr="001A4DC9">
        <w:rPr>
          <w:rFonts w:ascii="Arial" w:hAnsi="Arial" w:cs="Arial"/>
          <w:i/>
          <w:iCs/>
          <w:sz w:val="24"/>
          <w:szCs w:val="24"/>
          <w:lang w:val="es-ES"/>
        </w:rPr>
        <w:t xml:space="preserve"> eximían a la SPA de reordenar dicha reparación.</w:t>
      </w:r>
    </w:p>
    <w:p w:rsidR="008E540A" w:rsidRPr="001A4DC9" w:rsidRDefault="008E540A" w:rsidP="00E10C89">
      <w:pPr>
        <w:overflowPunct w:val="0"/>
        <w:autoSpaceDE w:val="0"/>
        <w:autoSpaceDN w:val="0"/>
        <w:spacing w:before="4" w:after="240" w:line="360" w:lineRule="auto"/>
        <w:ind w:left="1276"/>
        <w:jc w:val="both"/>
        <w:textAlignment w:val="baseline"/>
        <w:rPr>
          <w:rFonts w:ascii="Arial" w:hAnsi="Arial" w:cs="Arial"/>
          <w:i/>
          <w:iCs/>
          <w:sz w:val="24"/>
          <w:szCs w:val="24"/>
          <w:lang w:val="es-ES"/>
        </w:rPr>
      </w:pPr>
      <w:r w:rsidRPr="001A4DC9">
        <w:rPr>
          <w:rFonts w:ascii="Arial" w:hAnsi="Arial" w:cs="Arial"/>
          <w:i/>
          <w:iCs/>
          <w:sz w:val="24"/>
          <w:szCs w:val="24"/>
          <w:lang w:val="es-ES"/>
        </w:rPr>
        <w:t>114. (</w:t>
      </w:r>
      <w:r w:rsidR="00E10C89" w:rsidRPr="001A4DC9">
        <w:rPr>
          <w:rFonts w:ascii="Arial" w:hAnsi="Arial" w:cs="Arial"/>
          <w:i/>
          <w:iCs/>
          <w:sz w:val="24"/>
          <w:szCs w:val="24"/>
          <w:lang w:val="es-ES"/>
        </w:rPr>
        <w:t>…) [</w:t>
      </w:r>
      <w:r w:rsidRPr="001A4DC9">
        <w:rPr>
          <w:rFonts w:ascii="Arial" w:hAnsi="Arial" w:cs="Arial"/>
          <w:i/>
          <w:iCs/>
          <w:sz w:val="24"/>
          <w:szCs w:val="24"/>
          <w:lang w:val="es-ES"/>
        </w:rPr>
        <w:t xml:space="preserve">L]a </w:t>
      </w:r>
      <w:r w:rsidR="00E10C89" w:rsidRPr="001A4DC9">
        <w:rPr>
          <w:rFonts w:ascii="Arial" w:hAnsi="Arial" w:cs="Arial"/>
          <w:i/>
          <w:iCs/>
          <w:sz w:val="24"/>
          <w:szCs w:val="24"/>
          <w:lang w:val="es-ES"/>
        </w:rPr>
        <w:t>Corte nota</w:t>
      </w:r>
      <w:r w:rsidRPr="001A4DC9">
        <w:rPr>
          <w:rFonts w:ascii="Arial" w:hAnsi="Arial" w:cs="Arial"/>
          <w:i/>
          <w:iCs/>
          <w:sz w:val="24"/>
          <w:szCs w:val="24"/>
          <w:lang w:val="es-ES"/>
        </w:rPr>
        <w:t xml:space="preserve"> que los jueces provisorios en Venezuela ejercen exactamente las </w:t>
      </w:r>
      <w:r w:rsidR="00E10C89" w:rsidRPr="001A4DC9">
        <w:rPr>
          <w:rFonts w:ascii="Arial" w:hAnsi="Arial" w:cs="Arial"/>
          <w:i/>
          <w:iCs/>
          <w:sz w:val="24"/>
          <w:szCs w:val="24"/>
          <w:lang w:val="es-ES"/>
        </w:rPr>
        <w:t>mismas funciones</w:t>
      </w:r>
      <w:r w:rsidRPr="001A4DC9">
        <w:rPr>
          <w:rFonts w:ascii="Arial" w:hAnsi="Arial" w:cs="Arial"/>
          <w:i/>
          <w:iCs/>
          <w:sz w:val="24"/>
          <w:szCs w:val="24"/>
          <w:lang w:val="es-ES"/>
        </w:rPr>
        <w:t xml:space="preserve"> que los jueces titulares, esto es, administrar </w:t>
      </w:r>
      <w:r w:rsidR="00E10C89" w:rsidRPr="001A4DC9">
        <w:rPr>
          <w:rFonts w:ascii="Arial" w:hAnsi="Arial" w:cs="Arial"/>
          <w:i/>
          <w:iCs/>
          <w:sz w:val="24"/>
          <w:szCs w:val="24"/>
          <w:lang w:val="es-ES"/>
        </w:rPr>
        <w:t>justicia.</w:t>
      </w:r>
      <w:r w:rsidRPr="001A4DC9">
        <w:rPr>
          <w:rFonts w:ascii="Arial" w:hAnsi="Arial" w:cs="Arial"/>
          <w:i/>
          <w:iCs/>
          <w:sz w:val="24"/>
          <w:szCs w:val="24"/>
          <w:lang w:val="es-ES"/>
        </w:rPr>
        <w:t xml:space="preserve"> De </w:t>
      </w:r>
      <w:r w:rsidR="00E10C89" w:rsidRPr="001A4DC9">
        <w:rPr>
          <w:rFonts w:ascii="Arial" w:hAnsi="Arial" w:cs="Arial"/>
          <w:i/>
          <w:iCs/>
          <w:sz w:val="24"/>
          <w:szCs w:val="24"/>
          <w:lang w:val="es-ES"/>
        </w:rPr>
        <w:t>tal suerte</w:t>
      </w:r>
      <w:r w:rsidRPr="001A4DC9">
        <w:rPr>
          <w:rFonts w:ascii="Arial" w:hAnsi="Arial" w:cs="Arial"/>
          <w:i/>
          <w:iCs/>
          <w:sz w:val="24"/>
          <w:szCs w:val="24"/>
          <w:lang w:val="es-ES"/>
        </w:rPr>
        <w:t xml:space="preserve">, los justiciables tienen el derecho, derivado de la propia </w:t>
      </w:r>
      <w:r w:rsidR="00E10C89" w:rsidRPr="001A4DC9">
        <w:rPr>
          <w:rFonts w:ascii="Arial" w:hAnsi="Arial" w:cs="Arial"/>
          <w:i/>
          <w:iCs/>
          <w:sz w:val="24"/>
          <w:szCs w:val="24"/>
          <w:lang w:val="es-ES"/>
        </w:rPr>
        <w:t>Constitución venezolana</w:t>
      </w:r>
      <w:r w:rsidRPr="001A4DC9">
        <w:rPr>
          <w:rFonts w:ascii="Arial" w:hAnsi="Arial" w:cs="Arial"/>
          <w:i/>
          <w:iCs/>
          <w:sz w:val="24"/>
          <w:szCs w:val="24"/>
          <w:lang w:val="es-ES"/>
        </w:rPr>
        <w:t xml:space="preserve"> y de la Convención Americana, a que los jueces que resuelven </w:t>
      </w:r>
      <w:r w:rsidR="00E10C89" w:rsidRPr="001A4DC9">
        <w:rPr>
          <w:rFonts w:ascii="Arial" w:hAnsi="Arial" w:cs="Arial"/>
          <w:i/>
          <w:iCs/>
          <w:sz w:val="24"/>
          <w:szCs w:val="24"/>
          <w:lang w:val="es-ES"/>
        </w:rPr>
        <w:t>sus controversias</w:t>
      </w:r>
      <w:r w:rsidRPr="001A4DC9">
        <w:rPr>
          <w:rFonts w:ascii="Arial" w:hAnsi="Arial" w:cs="Arial"/>
          <w:i/>
          <w:iCs/>
          <w:sz w:val="24"/>
          <w:szCs w:val="24"/>
          <w:lang w:val="es-ES"/>
        </w:rPr>
        <w:t xml:space="preserve"> sean y aparenten ser independientes. Para ello, el </w:t>
      </w:r>
      <w:r w:rsidRPr="001A4DC9">
        <w:rPr>
          <w:rFonts w:ascii="Arial" w:hAnsi="Arial" w:cs="Arial"/>
          <w:i/>
          <w:iCs/>
          <w:sz w:val="24"/>
          <w:szCs w:val="24"/>
          <w:u w:val="single"/>
          <w:lang w:val="es-ES"/>
        </w:rPr>
        <w:t xml:space="preserve">Estado </w:t>
      </w:r>
      <w:r w:rsidR="00E10C89" w:rsidRPr="001A4DC9">
        <w:rPr>
          <w:rFonts w:ascii="Arial" w:hAnsi="Arial" w:cs="Arial"/>
          <w:i/>
          <w:iCs/>
          <w:sz w:val="24"/>
          <w:szCs w:val="24"/>
          <w:u w:val="single"/>
          <w:lang w:val="es-ES"/>
        </w:rPr>
        <w:t>debe ofrecer</w:t>
      </w:r>
      <w:r w:rsidRPr="001A4DC9">
        <w:rPr>
          <w:rFonts w:ascii="Arial" w:hAnsi="Arial" w:cs="Arial"/>
          <w:i/>
          <w:iCs/>
          <w:sz w:val="24"/>
          <w:szCs w:val="24"/>
          <w:u w:val="single"/>
          <w:lang w:val="es-ES"/>
        </w:rPr>
        <w:t xml:space="preserve"> las garantías que emanan del principio de la independencia </w:t>
      </w:r>
      <w:r w:rsidR="00E10C89" w:rsidRPr="001A4DC9">
        <w:rPr>
          <w:rFonts w:ascii="Arial" w:hAnsi="Arial" w:cs="Arial"/>
          <w:i/>
          <w:iCs/>
          <w:sz w:val="24"/>
          <w:szCs w:val="24"/>
          <w:u w:val="single"/>
          <w:lang w:val="es-ES"/>
        </w:rPr>
        <w:t>judicial, tanto</w:t>
      </w:r>
      <w:r w:rsidRPr="001A4DC9">
        <w:rPr>
          <w:rFonts w:ascii="Arial" w:hAnsi="Arial" w:cs="Arial"/>
          <w:i/>
          <w:iCs/>
          <w:sz w:val="24"/>
          <w:szCs w:val="24"/>
          <w:u w:val="single"/>
          <w:lang w:val="es-ES"/>
        </w:rPr>
        <w:t xml:space="preserve"> a los jueces titulares como a los provisorios.</w:t>
      </w:r>
    </w:p>
    <w:p w:rsidR="008E540A" w:rsidRPr="001A4DC9" w:rsidRDefault="008E540A" w:rsidP="00E10C89">
      <w:pPr>
        <w:overflowPunct w:val="0"/>
        <w:autoSpaceDE w:val="0"/>
        <w:autoSpaceDN w:val="0"/>
        <w:spacing w:before="4" w:after="240" w:line="360" w:lineRule="auto"/>
        <w:ind w:left="1276"/>
        <w:jc w:val="both"/>
        <w:textAlignment w:val="baseline"/>
        <w:rPr>
          <w:rFonts w:ascii="Arial" w:hAnsi="Arial" w:cs="Arial"/>
          <w:i/>
          <w:iCs/>
          <w:sz w:val="24"/>
          <w:szCs w:val="24"/>
          <w:lang w:val="es-ES"/>
        </w:rPr>
      </w:pPr>
      <w:r w:rsidRPr="001A4DC9">
        <w:rPr>
          <w:rFonts w:ascii="Arial" w:hAnsi="Arial" w:cs="Arial"/>
          <w:i/>
          <w:iCs/>
          <w:sz w:val="24"/>
          <w:szCs w:val="24"/>
          <w:lang w:val="es-ES"/>
        </w:rPr>
        <w:t xml:space="preserve">116. De la misma forma en que el Estado está obligado a garantizar un procedimiento adecuado </w:t>
      </w:r>
      <w:r w:rsidR="00E10C89" w:rsidRPr="001A4DC9">
        <w:rPr>
          <w:rFonts w:ascii="Arial" w:hAnsi="Arial" w:cs="Arial"/>
          <w:i/>
          <w:iCs/>
          <w:sz w:val="24"/>
          <w:szCs w:val="24"/>
          <w:lang w:val="es-ES"/>
        </w:rPr>
        <w:t>de nombramiento</w:t>
      </w:r>
      <w:r w:rsidRPr="001A4DC9">
        <w:rPr>
          <w:rFonts w:ascii="Arial" w:hAnsi="Arial" w:cs="Arial"/>
          <w:i/>
          <w:iCs/>
          <w:sz w:val="24"/>
          <w:szCs w:val="24"/>
          <w:lang w:val="es-ES"/>
        </w:rPr>
        <w:t xml:space="preserve"> para los jueces provisorios, debe garantizarles una </w:t>
      </w:r>
      <w:r w:rsidR="00E10C89" w:rsidRPr="001A4DC9">
        <w:rPr>
          <w:rFonts w:ascii="Arial" w:hAnsi="Arial" w:cs="Arial"/>
          <w:i/>
          <w:iCs/>
          <w:sz w:val="24"/>
          <w:szCs w:val="24"/>
          <w:lang w:val="es-ES"/>
        </w:rPr>
        <w:t>cierta inamovilidad</w:t>
      </w:r>
      <w:r w:rsidRPr="001A4DC9">
        <w:rPr>
          <w:rFonts w:ascii="Arial" w:hAnsi="Arial" w:cs="Arial"/>
          <w:i/>
          <w:iCs/>
          <w:sz w:val="24"/>
          <w:szCs w:val="24"/>
          <w:lang w:val="es-ES"/>
        </w:rPr>
        <w:t xml:space="preserve"> en su cargo. (…) De esta manera, la garantía de la inamovilidad </w:t>
      </w:r>
      <w:r w:rsidR="00E10C89" w:rsidRPr="001A4DC9">
        <w:rPr>
          <w:rFonts w:ascii="Arial" w:hAnsi="Arial" w:cs="Arial"/>
          <w:i/>
          <w:iCs/>
          <w:sz w:val="24"/>
          <w:szCs w:val="24"/>
          <w:lang w:val="es-ES"/>
        </w:rPr>
        <w:t>se traduce</w:t>
      </w:r>
      <w:r w:rsidRPr="001A4DC9">
        <w:rPr>
          <w:rFonts w:ascii="Arial" w:hAnsi="Arial" w:cs="Arial"/>
          <w:i/>
          <w:iCs/>
          <w:sz w:val="24"/>
          <w:szCs w:val="24"/>
          <w:lang w:val="es-ES"/>
        </w:rPr>
        <w:t>, en el ámbito de los jueces provisorio</w:t>
      </w:r>
      <w:r w:rsidR="00E10C89" w:rsidRPr="001A4DC9">
        <w:rPr>
          <w:rFonts w:ascii="Arial" w:hAnsi="Arial" w:cs="Arial"/>
          <w:i/>
          <w:iCs/>
          <w:sz w:val="24"/>
          <w:szCs w:val="24"/>
          <w:lang w:val="es-ES"/>
        </w:rPr>
        <w:t>s, en la exigencia de que ellos</w:t>
      </w:r>
      <w:r w:rsidRPr="001A4DC9">
        <w:rPr>
          <w:rFonts w:ascii="Arial" w:hAnsi="Arial" w:cs="Arial"/>
          <w:i/>
          <w:iCs/>
          <w:sz w:val="24"/>
          <w:szCs w:val="24"/>
          <w:lang w:val="es-ES"/>
        </w:rPr>
        <w:t xml:space="preserve"> puedan disfrutar de todos los beneficios propios </w:t>
      </w:r>
      <w:r w:rsidRPr="001A4DC9">
        <w:rPr>
          <w:rFonts w:ascii="Arial" w:hAnsi="Arial" w:cs="Arial"/>
          <w:i/>
          <w:iCs/>
          <w:sz w:val="24"/>
          <w:szCs w:val="24"/>
          <w:lang w:val="es-ES"/>
        </w:rPr>
        <w:lastRenderedPageBreak/>
        <w:t xml:space="preserve">de la permanencia hasta </w:t>
      </w:r>
      <w:r w:rsidR="00E10C89" w:rsidRPr="001A4DC9">
        <w:rPr>
          <w:rFonts w:ascii="Arial" w:hAnsi="Arial" w:cs="Arial"/>
          <w:i/>
          <w:iCs/>
          <w:sz w:val="24"/>
          <w:szCs w:val="24"/>
          <w:lang w:val="es-ES"/>
        </w:rPr>
        <w:t>tanto acaezca</w:t>
      </w:r>
      <w:r w:rsidRPr="001A4DC9">
        <w:rPr>
          <w:rFonts w:ascii="Arial" w:hAnsi="Arial" w:cs="Arial"/>
          <w:i/>
          <w:iCs/>
          <w:sz w:val="24"/>
          <w:szCs w:val="24"/>
          <w:lang w:val="es-ES"/>
        </w:rPr>
        <w:t xml:space="preserve"> la condición resolutoria que pondrá fin legal a su mandato.</w:t>
      </w:r>
    </w:p>
    <w:p w:rsidR="008E540A" w:rsidRPr="001A4DC9" w:rsidRDefault="008E540A" w:rsidP="00E10C89">
      <w:pPr>
        <w:overflowPunct w:val="0"/>
        <w:autoSpaceDE w:val="0"/>
        <w:autoSpaceDN w:val="0"/>
        <w:spacing w:before="4" w:after="240" w:line="360" w:lineRule="auto"/>
        <w:ind w:left="1276"/>
        <w:jc w:val="both"/>
        <w:textAlignment w:val="baseline"/>
        <w:rPr>
          <w:rFonts w:ascii="Arial" w:hAnsi="Arial" w:cs="Arial"/>
          <w:i/>
          <w:iCs/>
          <w:sz w:val="24"/>
          <w:szCs w:val="24"/>
          <w:lang w:val="es-ES"/>
        </w:rPr>
      </w:pPr>
      <w:r w:rsidRPr="001A4DC9">
        <w:rPr>
          <w:rFonts w:ascii="Arial" w:hAnsi="Arial" w:cs="Arial"/>
          <w:i/>
          <w:iCs/>
          <w:sz w:val="24"/>
          <w:szCs w:val="24"/>
          <w:lang w:val="es-ES"/>
        </w:rPr>
        <w:t xml:space="preserve">117. La </w:t>
      </w:r>
      <w:r w:rsidR="00E10C89" w:rsidRPr="001A4DC9">
        <w:rPr>
          <w:rFonts w:ascii="Arial" w:hAnsi="Arial" w:cs="Arial"/>
          <w:i/>
          <w:iCs/>
          <w:sz w:val="24"/>
          <w:szCs w:val="24"/>
          <w:lang w:val="es-ES"/>
        </w:rPr>
        <w:t>inamovilidad de</w:t>
      </w:r>
      <w:r w:rsidRPr="001A4DC9">
        <w:rPr>
          <w:rFonts w:ascii="Arial" w:hAnsi="Arial" w:cs="Arial"/>
          <w:i/>
          <w:iCs/>
          <w:sz w:val="24"/>
          <w:szCs w:val="24"/>
          <w:lang w:val="es-ES"/>
        </w:rPr>
        <w:t xml:space="preserve"> los jueces provisorios está estrechamente ligada a la garantía </w:t>
      </w:r>
      <w:r w:rsidR="00E10C89" w:rsidRPr="001A4DC9">
        <w:rPr>
          <w:rFonts w:ascii="Arial" w:hAnsi="Arial" w:cs="Arial"/>
          <w:i/>
          <w:iCs/>
          <w:sz w:val="24"/>
          <w:szCs w:val="24"/>
          <w:lang w:val="es-ES"/>
        </w:rPr>
        <w:t>contra presiones</w:t>
      </w:r>
      <w:r w:rsidRPr="001A4DC9">
        <w:rPr>
          <w:rFonts w:ascii="Arial" w:hAnsi="Arial" w:cs="Arial"/>
          <w:i/>
          <w:iCs/>
          <w:sz w:val="24"/>
          <w:szCs w:val="24"/>
          <w:lang w:val="es-ES"/>
        </w:rPr>
        <w:t xml:space="preserve"> externas, </w:t>
      </w:r>
      <w:r w:rsidR="00E10C89" w:rsidRPr="001A4DC9">
        <w:rPr>
          <w:rFonts w:ascii="Arial" w:hAnsi="Arial" w:cs="Arial"/>
          <w:i/>
          <w:iCs/>
          <w:sz w:val="24"/>
          <w:szCs w:val="24"/>
          <w:lang w:val="es-ES"/>
        </w:rPr>
        <w:t>ya que,</w:t>
      </w:r>
      <w:r w:rsidRPr="001A4DC9">
        <w:rPr>
          <w:rFonts w:ascii="Arial" w:hAnsi="Arial" w:cs="Arial"/>
          <w:i/>
          <w:iCs/>
          <w:sz w:val="24"/>
          <w:szCs w:val="24"/>
          <w:lang w:val="es-ES"/>
        </w:rPr>
        <w:t xml:space="preserve"> si los jueces provisorios no tienen la seguridad </w:t>
      </w:r>
      <w:r w:rsidR="00E10C89" w:rsidRPr="001A4DC9">
        <w:rPr>
          <w:rFonts w:ascii="Arial" w:hAnsi="Arial" w:cs="Arial"/>
          <w:i/>
          <w:iCs/>
          <w:sz w:val="24"/>
          <w:szCs w:val="24"/>
          <w:lang w:val="es-ES"/>
        </w:rPr>
        <w:t>de permanencia</w:t>
      </w:r>
      <w:r w:rsidRPr="001A4DC9">
        <w:rPr>
          <w:rFonts w:ascii="Arial" w:hAnsi="Arial" w:cs="Arial"/>
          <w:i/>
          <w:iCs/>
          <w:sz w:val="24"/>
          <w:szCs w:val="24"/>
          <w:lang w:val="es-ES"/>
        </w:rPr>
        <w:t xml:space="preserve"> durante un período determinado, serán vulnerables a presiones </w:t>
      </w:r>
      <w:r w:rsidR="00E10C89" w:rsidRPr="001A4DC9">
        <w:rPr>
          <w:rFonts w:ascii="Arial" w:hAnsi="Arial" w:cs="Arial"/>
          <w:i/>
          <w:iCs/>
          <w:sz w:val="24"/>
          <w:szCs w:val="24"/>
          <w:lang w:val="es-ES"/>
        </w:rPr>
        <w:t>de diferentes</w:t>
      </w:r>
      <w:r w:rsidRPr="001A4DC9">
        <w:rPr>
          <w:rFonts w:ascii="Arial" w:hAnsi="Arial" w:cs="Arial"/>
          <w:i/>
          <w:iCs/>
          <w:sz w:val="24"/>
          <w:szCs w:val="24"/>
          <w:lang w:val="es-ES"/>
        </w:rPr>
        <w:t xml:space="preserve"> sectores, principalmente de quienes tienen la facultad de </w:t>
      </w:r>
      <w:r w:rsidR="00E10C89" w:rsidRPr="001A4DC9">
        <w:rPr>
          <w:rFonts w:ascii="Arial" w:hAnsi="Arial" w:cs="Arial"/>
          <w:i/>
          <w:iCs/>
          <w:sz w:val="24"/>
          <w:szCs w:val="24"/>
          <w:lang w:val="es-ES"/>
        </w:rPr>
        <w:t>decidir sobre</w:t>
      </w:r>
      <w:r w:rsidRPr="001A4DC9">
        <w:rPr>
          <w:rFonts w:ascii="Arial" w:hAnsi="Arial" w:cs="Arial"/>
          <w:i/>
          <w:iCs/>
          <w:sz w:val="24"/>
          <w:szCs w:val="24"/>
          <w:lang w:val="es-ES"/>
        </w:rPr>
        <w:t xml:space="preserve"> destituciones o ascensos en el Poder Judicial.</w:t>
      </w:r>
    </w:p>
    <w:p w:rsidR="008E540A" w:rsidRPr="001A4DC9" w:rsidRDefault="008E540A" w:rsidP="00E10C89">
      <w:pPr>
        <w:overflowPunct w:val="0"/>
        <w:autoSpaceDE w:val="0"/>
        <w:autoSpaceDN w:val="0"/>
        <w:spacing w:before="4" w:after="240" w:line="360" w:lineRule="auto"/>
        <w:ind w:left="1276"/>
        <w:jc w:val="both"/>
        <w:textAlignment w:val="baseline"/>
        <w:rPr>
          <w:rFonts w:ascii="Arial" w:hAnsi="Arial" w:cs="Arial"/>
          <w:i/>
          <w:sz w:val="24"/>
          <w:szCs w:val="24"/>
          <w:lang w:val="es-ES"/>
        </w:rPr>
      </w:pPr>
      <w:r w:rsidRPr="001A4DC9">
        <w:rPr>
          <w:rFonts w:ascii="Arial" w:hAnsi="Arial" w:cs="Arial"/>
          <w:i/>
          <w:iCs/>
          <w:sz w:val="24"/>
          <w:szCs w:val="24"/>
          <w:lang w:val="es-ES"/>
        </w:rPr>
        <w:t xml:space="preserve">118. (…) </w:t>
      </w:r>
      <w:r w:rsidRPr="001A4DC9">
        <w:rPr>
          <w:rFonts w:ascii="Arial" w:hAnsi="Arial" w:cs="Arial"/>
          <w:i/>
          <w:iCs/>
          <w:sz w:val="24"/>
          <w:szCs w:val="24"/>
          <w:u w:val="single"/>
          <w:lang w:val="es-ES"/>
        </w:rPr>
        <w:t>[E]</w:t>
      </w:r>
      <w:r w:rsidR="00E10C89" w:rsidRPr="001A4DC9">
        <w:rPr>
          <w:rFonts w:ascii="Arial" w:hAnsi="Arial" w:cs="Arial"/>
          <w:i/>
          <w:iCs/>
          <w:sz w:val="24"/>
          <w:szCs w:val="24"/>
          <w:u w:val="single"/>
          <w:lang w:val="es-ES"/>
        </w:rPr>
        <w:t>sta Corte</w:t>
      </w:r>
      <w:r w:rsidRPr="001A4DC9">
        <w:rPr>
          <w:rFonts w:ascii="Arial" w:hAnsi="Arial" w:cs="Arial"/>
          <w:i/>
          <w:iCs/>
          <w:sz w:val="24"/>
          <w:szCs w:val="24"/>
          <w:u w:val="single"/>
          <w:lang w:val="es-ES"/>
        </w:rPr>
        <w:t xml:space="preserve"> ha sostenido que los nombramientos provisionales deben constituir </w:t>
      </w:r>
      <w:r w:rsidR="00E10C89" w:rsidRPr="001A4DC9">
        <w:rPr>
          <w:rFonts w:ascii="Arial" w:hAnsi="Arial" w:cs="Arial"/>
          <w:i/>
          <w:iCs/>
          <w:sz w:val="24"/>
          <w:szCs w:val="24"/>
          <w:u w:val="single"/>
          <w:lang w:val="es-ES"/>
        </w:rPr>
        <w:t>una situación</w:t>
      </w:r>
      <w:r w:rsidRPr="001A4DC9">
        <w:rPr>
          <w:rFonts w:ascii="Arial" w:hAnsi="Arial" w:cs="Arial"/>
          <w:i/>
          <w:iCs/>
          <w:sz w:val="24"/>
          <w:szCs w:val="24"/>
          <w:u w:val="single"/>
          <w:lang w:val="es-ES"/>
        </w:rPr>
        <w:t xml:space="preserve"> de excepción y no la regla, ya que la extensión en el tiempo de </w:t>
      </w:r>
      <w:r w:rsidR="00E10C89" w:rsidRPr="001A4DC9">
        <w:rPr>
          <w:rFonts w:ascii="Arial" w:hAnsi="Arial" w:cs="Arial"/>
          <w:i/>
          <w:iCs/>
          <w:sz w:val="24"/>
          <w:szCs w:val="24"/>
          <w:u w:val="single"/>
          <w:lang w:val="es-ES"/>
        </w:rPr>
        <w:t>la provisionalidad</w:t>
      </w:r>
      <w:r w:rsidRPr="001A4DC9">
        <w:rPr>
          <w:rFonts w:ascii="Arial" w:hAnsi="Arial" w:cs="Arial"/>
          <w:i/>
          <w:iCs/>
          <w:sz w:val="24"/>
          <w:szCs w:val="24"/>
          <w:u w:val="single"/>
          <w:lang w:val="es-ES"/>
        </w:rPr>
        <w:t xml:space="preserve"> de los jueces o el hecho de que la mayoría de los jueces </w:t>
      </w:r>
      <w:r w:rsidR="00E10C89" w:rsidRPr="001A4DC9">
        <w:rPr>
          <w:rFonts w:ascii="Arial" w:hAnsi="Arial" w:cs="Arial"/>
          <w:i/>
          <w:iCs/>
          <w:sz w:val="24"/>
          <w:szCs w:val="24"/>
          <w:u w:val="single"/>
          <w:lang w:val="es-ES"/>
        </w:rPr>
        <w:t>se encuentren</w:t>
      </w:r>
      <w:r w:rsidRPr="001A4DC9">
        <w:rPr>
          <w:rFonts w:ascii="Arial" w:hAnsi="Arial" w:cs="Arial"/>
          <w:i/>
          <w:iCs/>
          <w:sz w:val="24"/>
          <w:szCs w:val="24"/>
          <w:u w:val="single"/>
          <w:lang w:val="es-ES"/>
        </w:rPr>
        <w:t xml:space="preserve"> en dicha situación, generan importantes obstáculos para </w:t>
      </w:r>
      <w:r w:rsidR="00E10C89" w:rsidRPr="001A4DC9">
        <w:rPr>
          <w:rFonts w:ascii="Arial" w:hAnsi="Arial" w:cs="Arial"/>
          <w:i/>
          <w:iCs/>
          <w:sz w:val="24"/>
          <w:szCs w:val="24"/>
          <w:u w:val="single"/>
          <w:lang w:val="es-ES"/>
        </w:rPr>
        <w:t>la independencia</w:t>
      </w:r>
      <w:r w:rsidRPr="001A4DC9">
        <w:rPr>
          <w:rFonts w:ascii="Arial" w:hAnsi="Arial" w:cs="Arial"/>
          <w:i/>
          <w:iCs/>
          <w:sz w:val="24"/>
          <w:szCs w:val="24"/>
          <w:u w:val="single"/>
          <w:lang w:val="es-ES"/>
        </w:rPr>
        <w:t xml:space="preserve"> judicial</w:t>
      </w:r>
      <w:r w:rsidRPr="001A4DC9">
        <w:rPr>
          <w:rFonts w:ascii="Arial" w:hAnsi="Arial" w:cs="Arial"/>
          <w:i/>
          <w:iCs/>
          <w:sz w:val="24"/>
          <w:szCs w:val="24"/>
          <w:lang w:val="es-ES"/>
        </w:rPr>
        <w:t>. (…)</w:t>
      </w:r>
    </w:p>
    <w:p w:rsidR="008E540A" w:rsidRPr="001A4DC9" w:rsidRDefault="008E540A" w:rsidP="00E10C89">
      <w:pPr>
        <w:overflowPunct w:val="0"/>
        <w:autoSpaceDE w:val="0"/>
        <w:autoSpaceDN w:val="0"/>
        <w:spacing w:before="4" w:after="240" w:line="360" w:lineRule="auto"/>
        <w:jc w:val="both"/>
        <w:textAlignment w:val="baseline"/>
        <w:rPr>
          <w:rFonts w:ascii="Arial" w:hAnsi="Arial" w:cs="Arial"/>
          <w:sz w:val="24"/>
          <w:szCs w:val="24"/>
          <w:lang w:val="es-ES"/>
        </w:rPr>
      </w:pPr>
      <w:r w:rsidRPr="001A4DC9">
        <w:rPr>
          <w:rFonts w:ascii="Arial" w:hAnsi="Arial" w:cs="Arial"/>
          <w:sz w:val="24"/>
          <w:szCs w:val="24"/>
          <w:lang w:val="es-ES"/>
        </w:rPr>
        <w:t xml:space="preserve">Con fundamento en lo anterior, el Tribunal </w:t>
      </w:r>
      <w:r w:rsidR="00E10C89" w:rsidRPr="001A4DC9">
        <w:rPr>
          <w:rFonts w:ascii="Arial" w:hAnsi="Arial" w:cs="Arial"/>
          <w:sz w:val="24"/>
          <w:szCs w:val="24"/>
          <w:lang w:val="es-ES"/>
        </w:rPr>
        <w:t>Interamericano</w:t>
      </w:r>
      <w:r w:rsidRPr="001A4DC9">
        <w:rPr>
          <w:rFonts w:ascii="Arial" w:hAnsi="Arial" w:cs="Arial"/>
          <w:sz w:val="24"/>
          <w:szCs w:val="24"/>
          <w:lang w:val="es-ES"/>
        </w:rPr>
        <w:t xml:space="preserve"> consideró que el Estado de Venezuela vulneró el artículo 25.1 </w:t>
      </w:r>
      <w:r w:rsidR="00E10C89" w:rsidRPr="001A4DC9">
        <w:rPr>
          <w:rFonts w:ascii="Arial" w:hAnsi="Arial" w:cs="Arial"/>
          <w:sz w:val="24"/>
          <w:szCs w:val="24"/>
          <w:lang w:val="es-ES"/>
        </w:rPr>
        <w:t>de la</w:t>
      </w:r>
      <w:r w:rsidRPr="001A4DC9">
        <w:rPr>
          <w:rFonts w:ascii="Arial" w:hAnsi="Arial" w:cs="Arial"/>
          <w:sz w:val="24"/>
          <w:szCs w:val="24"/>
          <w:lang w:val="es-ES"/>
        </w:rPr>
        <w:t xml:space="preserve"> Convención Americana, puesto que, en primer lugar, el recurso al cual tuvo acceso la señora </w:t>
      </w:r>
      <w:r w:rsidR="00E10C89" w:rsidRPr="001A4DC9">
        <w:rPr>
          <w:rFonts w:ascii="Arial" w:hAnsi="Arial" w:cs="Arial"/>
          <w:sz w:val="24"/>
          <w:szCs w:val="24"/>
          <w:lang w:val="es-ES"/>
        </w:rPr>
        <w:t>Reverón Trujillo</w:t>
      </w:r>
      <w:r w:rsidRPr="001A4DC9">
        <w:rPr>
          <w:rFonts w:ascii="Arial" w:hAnsi="Arial" w:cs="Arial"/>
          <w:sz w:val="24"/>
          <w:szCs w:val="24"/>
          <w:lang w:val="es-ES"/>
        </w:rPr>
        <w:t xml:space="preserve"> no brindó las reparaciones adecuadas. En segundo lugar, no </w:t>
      </w:r>
      <w:r w:rsidR="00E10C89" w:rsidRPr="001A4DC9">
        <w:rPr>
          <w:rFonts w:ascii="Arial" w:hAnsi="Arial" w:cs="Arial"/>
          <w:sz w:val="24"/>
          <w:szCs w:val="24"/>
          <w:lang w:val="es-ES"/>
        </w:rPr>
        <w:t>existía motivo</w:t>
      </w:r>
      <w:r w:rsidRPr="001A4DC9">
        <w:rPr>
          <w:rFonts w:ascii="Arial" w:hAnsi="Arial" w:cs="Arial"/>
          <w:sz w:val="24"/>
          <w:szCs w:val="24"/>
          <w:lang w:val="es-ES"/>
        </w:rPr>
        <w:t xml:space="preserve"> justificado para no reincorporar a la señora Reverón Trujillo al </w:t>
      </w:r>
      <w:r w:rsidR="00E10C89" w:rsidRPr="001A4DC9">
        <w:rPr>
          <w:rFonts w:ascii="Arial" w:hAnsi="Arial" w:cs="Arial"/>
          <w:sz w:val="24"/>
          <w:szCs w:val="24"/>
          <w:lang w:val="es-ES"/>
        </w:rPr>
        <w:t>cargo judicial</w:t>
      </w:r>
      <w:r w:rsidRPr="001A4DC9">
        <w:rPr>
          <w:rFonts w:ascii="Arial" w:hAnsi="Arial" w:cs="Arial"/>
          <w:sz w:val="24"/>
          <w:szCs w:val="24"/>
          <w:lang w:val="es-ES"/>
        </w:rPr>
        <w:t xml:space="preserve"> que ocupaba y saldarle los salarios dejados de percibir. </w:t>
      </w:r>
      <w:r w:rsidR="00E10C89" w:rsidRPr="001A4DC9">
        <w:rPr>
          <w:rFonts w:ascii="Arial" w:hAnsi="Arial" w:cs="Arial"/>
          <w:sz w:val="24"/>
          <w:szCs w:val="24"/>
          <w:lang w:val="es-ES"/>
        </w:rPr>
        <w:t>En consecuencia</w:t>
      </w:r>
      <w:r w:rsidRPr="001A4DC9">
        <w:rPr>
          <w:rFonts w:ascii="Arial" w:hAnsi="Arial" w:cs="Arial"/>
          <w:sz w:val="24"/>
          <w:szCs w:val="24"/>
          <w:lang w:val="es-ES"/>
        </w:rPr>
        <w:t xml:space="preserve">, el recurso interno intentado no resultó efectivo. Por otra parte, se determinó que algunas de las normas y prácticas asociadas al proceso de reestructuración judicial que se viene implementando en Venezuela, por las </w:t>
      </w:r>
      <w:r w:rsidR="00E10C89" w:rsidRPr="001A4DC9">
        <w:rPr>
          <w:rFonts w:ascii="Arial" w:hAnsi="Arial" w:cs="Arial"/>
          <w:sz w:val="24"/>
          <w:szCs w:val="24"/>
          <w:lang w:val="es-ES"/>
        </w:rPr>
        <w:t>consecuencias específicas</w:t>
      </w:r>
      <w:r w:rsidRPr="001A4DC9">
        <w:rPr>
          <w:rFonts w:ascii="Arial" w:hAnsi="Arial" w:cs="Arial"/>
          <w:sz w:val="24"/>
          <w:szCs w:val="24"/>
          <w:lang w:val="es-ES"/>
        </w:rPr>
        <w:t xml:space="preserve"> que tuvo en el caso concreto, provoca una afectación muy alta a </w:t>
      </w:r>
      <w:r w:rsidR="00E10C89" w:rsidRPr="001A4DC9">
        <w:rPr>
          <w:rFonts w:ascii="Arial" w:hAnsi="Arial" w:cs="Arial"/>
          <w:sz w:val="24"/>
          <w:szCs w:val="24"/>
          <w:lang w:val="es-ES"/>
        </w:rPr>
        <w:t>la independencia</w:t>
      </w:r>
      <w:r w:rsidRPr="001A4DC9">
        <w:rPr>
          <w:rFonts w:ascii="Arial" w:hAnsi="Arial" w:cs="Arial"/>
          <w:sz w:val="24"/>
          <w:szCs w:val="24"/>
          <w:lang w:val="es-ES"/>
        </w:rPr>
        <w:t xml:space="preserve"> judicial. </w:t>
      </w:r>
    </w:p>
    <w:p w:rsidR="00E10C89" w:rsidRPr="001A4DC9" w:rsidRDefault="006E7AF7" w:rsidP="00E10C89">
      <w:pPr>
        <w:spacing w:before="4" w:after="240" w:line="360" w:lineRule="auto"/>
        <w:jc w:val="both"/>
        <w:rPr>
          <w:rFonts w:ascii="Arial" w:hAnsi="Arial" w:cs="Arial"/>
          <w:b/>
          <w:bCs/>
          <w:sz w:val="24"/>
          <w:szCs w:val="24"/>
          <w:lang w:val="es-ES"/>
        </w:rPr>
      </w:pPr>
      <w:r w:rsidRPr="001A4DC9">
        <w:rPr>
          <w:rFonts w:ascii="Arial" w:hAnsi="Arial" w:cs="Arial"/>
          <w:b/>
          <w:bCs/>
          <w:sz w:val="24"/>
          <w:szCs w:val="24"/>
          <w:lang w:val="es-ES"/>
        </w:rPr>
        <w:t xml:space="preserve">3.4. Caso Corte Suprema de Justicia (Quintana Coello y otros) vs. Ecuador (2013). </w:t>
      </w:r>
    </w:p>
    <w:p w:rsidR="008E540A" w:rsidRPr="001A4DC9" w:rsidRDefault="008E540A" w:rsidP="00E10C89">
      <w:pPr>
        <w:spacing w:before="4" w:after="240" w:line="360" w:lineRule="auto"/>
        <w:jc w:val="both"/>
        <w:rPr>
          <w:rFonts w:ascii="Arial" w:hAnsi="Arial" w:cs="Arial"/>
          <w:b/>
          <w:bCs/>
          <w:sz w:val="24"/>
          <w:szCs w:val="24"/>
          <w:lang w:val="es-ES"/>
        </w:rPr>
      </w:pPr>
      <w:r w:rsidRPr="001A4DC9">
        <w:rPr>
          <w:rFonts w:ascii="Arial" w:hAnsi="Arial" w:cs="Arial"/>
          <w:sz w:val="24"/>
          <w:szCs w:val="24"/>
          <w:lang w:val="es-ES"/>
        </w:rPr>
        <w:lastRenderedPageBreak/>
        <w:t>En el caso Corte Suprema de Justicia (Quintana Coello y otros) vs. Ecuador</w:t>
      </w:r>
      <w:r w:rsidR="00C94879" w:rsidRPr="001A4DC9">
        <w:rPr>
          <w:rFonts w:ascii="Arial" w:hAnsi="Arial" w:cs="Arial"/>
          <w:sz w:val="24"/>
          <w:szCs w:val="24"/>
          <w:lang w:val="es-ES"/>
        </w:rPr>
        <w:t xml:space="preserve">, </w:t>
      </w:r>
      <w:r w:rsidRPr="001A4DC9">
        <w:rPr>
          <w:rFonts w:ascii="Arial" w:hAnsi="Arial" w:cs="Arial"/>
          <w:sz w:val="24"/>
          <w:szCs w:val="24"/>
          <w:lang w:val="es-ES"/>
        </w:rPr>
        <w:t xml:space="preserve">se </w:t>
      </w:r>
      <w:r w:rsidR="00E10C89" w:rsidRPr="001A4DC9">
        <w:rPr>
          <w:rFonts w:ascii="Arial" w:hAnsi="Arial" w:cs="Arial"/>
          <w:sz w:val="24"/>
          <w:szCs w:val="24"/>
          <w:lang w:val="es-ES"/>
        </w:rPr>
        <w:t>reconoció la</w:t>
      </w:r>
      <w:r w:rsidRPr="001A4DC9">
        <w:rPr>
          <w:rFonts w:ascii="Arial" w:hAnsi="Arial" w:cs="Arial"/>
          <w:sz w:val="24"/>
          <w:szCs w:val="24"/>
          <w:lang w:val="es-ES"/>
        </w:rPr>
        <w:t xml:space="preserve"> responsabilidad internacional del Estado por la remoción arbitraria de 27 magistrados de la Corte Suprema de Justicia, la cual se llevó a cabo sin que existiera un marco legal claro que regulara las causales y procedimientos de separación de sus cargos. Al respecto, se indicó que:</w:t>
      </w:r>
    </w:p>
    <w:p w:rsidR="008E540A" w:rsidRPr="001A4DC9" w:rsidRDefault="008E540A" w:rsidP="00E10C89">
      <w:pPr>
        <w:shd w:val="clear" w:color="auto" w:fill="FFFFFF"/>
        <w:spacing w:before="4" w:after="240" w:line="360" w:lineRule="auto"/>
        <w:ind w:left="1276"/>
        <w:jc w:val="both"/>
        <w:textAlignment w:val="top"/>
        <w:rPr>
          <w:rFonts w:ascii="Arial" w:hAnsi="Arial" w:cs="Arial"/>
          <w:i/>
          <w:iCs/>
          <w:color w:val="000000"/>
          <w:sz w:val="24"/>
          <w:szCs w:val="24"/>
          <w:u w:val="single"/>
          <w:lang w:val="es-ES"/>
        </w:rPr>
      </w:pPr>
      <w:r w:rsidRPr="001A4DC9">
        <w:rPr>
          <w:rFonts w:ascii="Arial" w:hAnsi="Arial" w:cs="Arial"/>
          <w:i/>
          <w:color w:val="000000"/>
          <w:sz w:val="24"/>
          <w:szCs w:val="24"/>
          <w:lang w:val="es-ES"/>
        </w:rPr>
        <w:t>“</w:t>
      </w:r>
      <w:r w:rsidRPr="001A4DC9">
        <w:rPr>
          <w:rFonts w:ascii="Arial" w:hAnsi="Arial" w:cs="Arial"/>
          <w:i/>
          <w:iCs/>
          <w:color w:val="000000"/>
          <w:sz w:val="24"/>
          <w:szCs w:val="24"/>
          <w:lang w:val="es-ES"/>
        </w:rPr>
        <w:t>155. Teniendo  en cuenta los estándares desarrollados, la Corte considera que: i) el  respeto de las garantías judiciales implica respetar la independencia judicial;  ii</w:t>
      </w:r>
      <w:r w:rsidRPr="001A4DC9">
        <w:rPr>
          <w:rFonts w:ascii="Arial" w:hAnsi="Arial" w:cs="Arial"/>
          <w:i/>
          <w:iCs/>
          <w:color w:val="000000"/>
          <w:sz w:val="24"/>
          <w:szCs w:val="24"/>
          <w:u w:val="single"/>
          <w:lang w:val="es-ES"/>
        </w:rPr>
        <w:t>) las dimensiones de la independencia judicial se traducen en el derecho  subjetivo del juez a que su separación del cargo obedezca exclusivamente a las  causales permitidas, ya sea por medio de un proceso que cumpla con las  garantías judiciales o porque se ha cumplido el término o período de su  mandato, y iii) cuando se afecta en forma arbitraria la permanencia de los  jueces en su cargo, se vulnera el derecho a la independencia judicial  consagrado en el artículo 8.1 de la Convención Americana, en conjunción con el  derecho de acceso y permanencia en condiciones generales de igualdad en un  cargo público, establecido en el artículo 23.1.c de la Convención Americana.</w:t>
      </w:r>
    </w:p>
    <w:p w:rsidR="008E540A" w:rsidRPr="001A4DC9" w:rsidRDefault="008E540A" w:rsidP="00E10C89">
      <w:pPr>
        <w:shd w:val="clear" w:color="auto" w:fill="FFFFFF"/>
        <w:spacing w:before="4" w:after="240" w:line="360" w:lineRule="auto"/>
        <w:ind w:left="1276"/>
        <w:jc w:val="both"/>
        <w:textAlignment w:val="top"/>
        <w:rPr>
          <w:rFonts w:ascii="Arial" w:hAnsi="Arial" w:cs="Arial"/>
          <w:i/>
          <w:iCs/>
          <w:color w:val="000000"/>
          <w:sz w:val="24"/>
          <w:szCs w:val="24"/>
          <w:lang w:val="es-ES"/>
        </w:rPr>
      </w:pPr>
      <w:r w:rsidRPr="001A4DC9">
        <w:rPr>
          <w:rFonts w:ascii="Arial" w:hAnsi="Arial" w:cs="Arial"/>
          <w:i/>
          <w:iCs/>
          <w:color w:val="000000"/>
          <w:sz w:val="24"/>
          <w:szCs w:val="24"/>
          <w:lang w:val="es-ES"/>
        </w:rPr>
        <w:t xml:space="preserve">158. El artículo 8.1 de la Convención garantiza que las decisiones en las cuales </w:t>
      </w:r>
      <w:r w:rsidR="00E10C89" w:rsidRPr="001A4DC9">
        <w:rPr>
          <w:rFonts w:ascii="Arial" w:hAnsi="Arial" w:cs="Arial"/>
          <w:i/>
          <w:iCs/>
          <w:color w:val="000000"/>
          <w:sz w:val="24"/>
          <w:szCs w:val="24"/>
          <w:lang w:val="es-ES"/>
        </w:rPr>
        <w:t>se determinen</w:t>
      </w:r>
      <w:r w:rsidRPr="001A4DC9">
        <w:rPr>
          <w:rFonts w:ascii="Arial" w:hAnsi="Arial" w:cs="Arial"/>
          <w:i/>
          <w:iCs/>
          <w:color w:val="000000"/>
          <w:sz w:val="24"/>
          <w:szCs w:val="24"/>
          <w:lang w:val="es-ES"/>
        </w:rPr>
        <w:t xml:space="preserve"> derechos de las personas, deben ser</w:t>
      </w:r>
      <w:r w:rsidR="00490D86" w:rsidRPr="001A4DC9">
        <w:rPr>
          <w:rFonts w:ascii="Arial" w:hAnsi="Arial" w:cs="Arial"/>
          <w:i/>
          <w:iCs/>
          <w:color w:val="000000"/>
          <w:sz w:val="24"/>
          <w:szCs w:val="24"/>
          <w:lang w:val="es-ES"/>
        </w:rPr>
        <w:t xml:space="preserve"> adoptadas por las autoridades </w:t>
      </w:r>
      <w:r w:rsidRPr="001A4DC9">
        <w:rPr>
          <w:rFonts w:ascii="Arial" w:hAnsi="Arial" w:cs="Arial"/>
          <w:i/>
          <w:iCs/>
          <w:color w:val="000000"/>
          <w:sz w:val="24"/>
          <w:szCs w:val="24"/>
          <w:lang w:val="es-ES"/>
        </w:rPr>
        <w:t xml:space="preserve">competentes que la ley interna determine. En el presente caso, el cese de los magistrados implicó una determinación de sus derechos en el sentido que </w:t>
      </w:r>
      <w:r w:rsidR="00E10C89" w:rsidRPr="001A4DC9">
        <w:rPr>
          <w:rFonts w:ascii="Arial" w:hAnsi="Arial" w:cs="Arial"/>
          <w:i/>
          <w:iCs/>
          <w:color w:val="000000"/>
          <w:sz w:val="24"/>
          <w:szCs w:val="24"/>
          <w:lang w:val="es-ES"/>
        </w:rPr>
        <w:t>la consecuencia</w:t>
      </w:r>
      <w:r w:rsidRPr="001A4DC9">
        <w:rPr>
          <w:rFonts w:ascii="Arial" w:hAnsi="Arial" w:cs="Arial"/>
          <w:i/>
          <w:iCs/>
          <w:color w:val="000000"/>
          <w:sz w:val="24"/>
          <w:szCs w:val="24"/>
          <w:lang w:val="es-ES"/>
        </w:rPr>
        <w:t xml:space="preserve"> de dicho cese fue la separación in</w:t>
      </w:r>
      <w:r w:rsidR="00490D86" w:rsidRPr="001A4DC9">
        <w:rPr>
          <w:rFonts w:ascii="Arial" w:hAnsi="Arial" w:cs="Arial"/>
          <w:i/>
          <w:iCs/>
          <w:color w:val="000000"/>
          <w:sz w:val="24"/>
          <w:szCs w:val="24"/>
          <w:lang w:val="es-ES"/>
        </w:rPr>
        <w:t>mediata del cargo, por lo cual </w:t>
      </w:r>
      <w:r w:rsidRPr="001A4DC9">
        <w:rPr>
          <w:rFonts w:ascii="Arial" w:hAnsi="Arial" w:cs="Arial"/>
          <w:i/>
          <w:iCs/>
          <w:color w:val="000000"/>
          <w:sz w:val="24"/>
          <w:szCs w:val="24"/>
          <w:lang w:val="es-ES"/>
        </w:rPr>
        <w:t>son aplicables las garantías judiciales estable</w:t>
      </w:r>
      <w:r w:rsidR="00490D86" w:rsidRPr="001A4DC9">
        <w:rPr>
          <w:rFonts w:ascii="Arial" w:hAnsi="Arial" w:cs="Arial"/>
          <w:i/>
          <w:iCs/>
          <w:color w:val="000000"/>
          <w:sz w:val="24"/>
          <w:szCs w:val="24"/>
          <w:lang w:val="es-ES"/>
        </w:rPr>
        <w:t>cidas en el artículo 8.1 de la </w:t>
      </w:r>
      <w:r w:rsidRPr="001A4DC9">
        <w:rPr>
          <w:rFonts w:ascii="Arial" w:hAnsi="Arial" w:cs="Arial"/>
          <w:i/>
          <w:iCs/>
          <w:color w:val="000000"/>
          <w:sz w:val="24"/>
          <w:szCs w:val="24"/>
          <w:lang w:val="es-ES"/>
        </w:rPr>
        <w:t>Convención Americana. (…)</w:t>
      </w:r>
    </w:p>
    <w:p w:rsidR="008E540A" w:rsidRPr="001A4DC9" w:rsidRDefault="008E540A" w:rsidP="00E10C89">
      <w:pPr>
        <w:shd w:val="clear" w:color="auto" w:fill="FFFFFF"/>
        <w:spacing w:before="4" w:after="240" w:line="360" w:lineRule="auto"/>
        <w:ind w:left="1276"/>
        <w:jc w:val="both"/>
        <w:textAlignment w:val="top"/>
        <w:rPr>
          <w:rFonts w:ascii="Arial" w:hAnsi="Arial" w:cs="Arial"/>
          <w:i/>
          <w:iCs/>
          <w:color w:val="000000"/>
          <w:sz w:val="24"/>
          <w:szCs w:val="24"/>
          <w:lang w:val="es-ES"/>
        </w:rPr>
      </w:pPr>
      <w:r w:rsidRPr="001A4DC9">
        <w:rPr>
          <w:rFonts w:ascii="Arial" w:hAnsi="Arial" w:cs="Arial"/>
          <w:i/>
          <w:iCs/>
          <w:color w:val="000000"/>
          <w:sz w:val="24"/>
          <w:szCs w:val="24"/>
          <w:lang w:val="es-ES"/>
        </w:rPr>
        <w:t xml:space="preserve">162. (…) [T]eniendo en cuenta el allanamiento del </w:t>
      </w:r>
      <w:r w:rsidR="00490D86" w:rsidRPr="001A4DC9">
        <w:rPr>
          <w:rFonts w:ascii="Arial" w:hAnsi="Arial" w:cs="Arial"/>
          <w:i/>
          <w:iCs/>
          <w:color w:val="000000"/>
          <w:sz w:val="24"/>
          <w:szCs w:val="24"/>
          <w:lang w:val="es-ES"/>
        </w:rPr>
        <w:t>Estado en el sentido de que el </w:t>
      </w:r>
      <w:r w:rsidRPr="001A4DC9">
        <w:rPr>
          <w:rFonts w:ascii="Arial" w:hAnsi="Arial" w:cs="Arial"/>
          <w:i/>
          <w:iCs/>
          <w:color w:val="000000"/>
          <w:sz w:val="24"/>
          <w:szCs w:val="24"/>
          <w:lang w:val="es-ES"/>
        </w:rPr>
        <w:t xml:space="preserve">Congreso habría creado un mecanismo ad-hoc (supra </w:t>
      </w:r>
      <w:r w:rsidR="00490D86" w:rsidRPr="001A4DC9">
        <w:rPr>
          <w:rFonts w:ascii="Arial" w:hAnsi="Arial" w:cs="Arial"/>
          <w:i/>
          <w:iCs/>
          <w:color w:val="000000"/>
          <w:sz w:val="24"/>
          <w:szCs w:val="24"/>
          <w:lang w:val="es-ES"/>
        </w:rPr>
        <w:t xml:space="preserve">párr. 13), es </w:t>
      </w:r>
      <w:r w:rsidR="00490D86" w:rsidRPr="001A4DC9">
        <w:rPr>
          <w:rFonts w:ascii="Arial" w:hAnsi="Arial" w:cs="Arial"/>
          <w:i/>
          <w:iCs/>
          <w:color w:val="000000"/>
          <w:sz w:val="24"/>
          <w:szCs w:val="24"/>
          <w:lang w:val="es-ES"/>
        </w:rPr>
        <w:lastRenderedPageBreak/>
        <w:t>posible concluir </w:t>
      </w:r>
      <w:r w:rsidRPr="001A4DC9">
        <w:rPr>
          <w:rFonts w:ascii="Arial" w:hAnsi="Arial" w:cs="Arial"/>
          <w:i/>
          <w:iCs/>
          <w:color w:val="000000"/>
          <w:sz w:val="24"/>
          <w:szCs w:val="24"/>
          <w:lang w:val="es-ES"/>
        </w:rPr>
        <w:t xml:space="preserve">que </w:t>
      </w:r>
      <w:r w:rsidRPr="001A4DC9">
        <w:rPr>
          <w:rFonts w:ascii="Arial" w:hAnsi="Arial" w:cs="Arial"/>
          <w:i/>
          <w:iCs/>
          <w:color w:val="000000"/>
          <w:sz w:val="24"/>
          <w:szCs w:val="24"/>
          <w:u w:val="single"/>
          <w:lang w:val="es-ES"/>
        </w:rPr>
        <w:t>el Congreso no estaba facultado para des</w:t>
      </w:r>
      <w:r w:rsidR="00490D86" w:rsidRPr="001A4DC9">
        <w:rPr>
          <w:rFonts w:ascii="Arial" w:hAnsi="Arial" w:cs="Arial"/>
          <w:i/>
          <w:iCs/>
          <w:color w:val="000000"/>
          <w:sz w:val="24"/>
          <w:szCs w:val="24"/>
          <w:u w:val="single"/>
          <w:lang w:val="es-ES"/>
        </w:rPr>
        <w:t>tituir a los magistrados de la </w:t>
      </w:r>
      <w:r w:rsidRPr="001A4DC9">
        <w:rPr>
          <w:rFonts w:ascii="Arial" w:hAnsi="Arial" w:cs="Arial"/>
          <w:i/>
          <w:iCs/>
          <w:color w:val="000000"/>
          <w:sz w:val="24"/>
          <w:szCs w:val="24"/>
          <w:u w:val="single"/>
          <w:lang w:val="es-ES"/>
        </w:rPr>
        <w:t>Corte Suprema, por cuanto en la nueva Constitució</w:t>
      </w:r>
      <w:r w:rsidR="00490D86" w:rsidRPr="001A4DC9">
        <w:rPr>
          <w:rFonts w:ascii="Arial" w:hAnsi="Arial" w:cs="Arial"/>
          <w:i/>
          <w:iCs/>
          <w:color w:val="000000"/>
          <w:sz w:val="24"/>
          <w:szCs w:val="24"/>
          <w:u w:val="single"/>
          <w:lang w:val="es-ES"/>
        </w:rPr>
        <w:t>n se le había privado de dicha </w:t>
      </w:r>
      <w:r w:rsidRPr="001A4DC9">
        <w:rPr>
          <w:rFonts w:ascii="Arial" w:hAnsi="Arial" w:cs="Arial"/>
          <w:i/>
          <w:iCs/>
          <w:color w:val="000000"/>
          <w:sz w:val="24"/>
          <w:szCs w:val="24"/>
          <w:u w:val="single"/>
          <w:lang w:val="es-ES"/>
        </w:rPr>
        <w:t>potestad y, además, existía un procedimie</w:t>
      </w:r>
      <w:r w:rsidR="00490D86" w:rsidRPr="001A4DC9">
        <w:rPr>
          <w:rFonts w:ascii="Arial" w:hAnsi="Arial" w:cs="Arial"/>
          <w:i/>
          <w:iCs/>
          <w:color w:val="000000"/>
          <w:sz w:val="24"/>
          <w:szCs w:val="24"/>
          <w:u w:val="single"/>
          <w:lang w:val="es-ES"/>
        </w:rPr>
        <w:t xml:space="preserve">nto establecido que indicaba el </w:t>
      </w:r>
      <w:r w:rsidRPr="001A4DC9">
        <w:rPr>
          <w:rFonts w:ascii="Arial" w:hAnsi="Arial" w:cs="Arial"/>
          <w:i/>
          <w:iCs/>
          <w:color w:val="000000"/>
          <w:sz w:val="24"/>
          <w:szCs w:val="24"/>
          <w:u w:val="single"/>
          <w:lang w:val="es-ES"/>
        </w:rPr>
        <w:t>proceso y las causales por las cuales un magistrado podía ser destituido.</w:t>
      </w:r>
      <w:r w:rsidR="00490D86" w:rsidRPr="001A4DC9">
        <w:rPr>
          <w:rFonts w:ascii="Arial" w:hAnsi="Arial" w:cs="Arial"/>
          <w:i/>
          <w:iCs/>
          <w:color w:val="000000"/>
          <w:sz w:val="24"/>
          <w:szCs w:val="24"/>
          <w:lang w:val="es-ES"/>
        </w:rPr>
        <w:t xml:space="preserve"> Por </w:t>
      </w:r>
      <w:r w:rsidRPr="001A4DC9">
        <w:rPr>
          <w:rFonts w:ascii="Arial" w:hAnsi="Arial" w:cs="Arial"/>
          <w:i/>
          <w:iCs/>
          <w:color w:val="000000"/>
          <w:sz w:val="24"/>
          <w:szCs w:val="24"/>
          <w:lang w:val="es-ES"/>
        </w:rPr>
        <w:t>ello, es evidente que el Congreso no era la aut</w:t>
      </w:r>
      <w:r w:rsidR="00490D86" w:rsidRPr="001A4DC9">
        <w:rPr>
          <w:rFonts w:ascii="Arial" w:hAnsi="Arial" w:cs="Arial"/>
          <w:i/>
          <w:iCs/>
          <w:color w:val="000000"/>
          <w:sz w:val="24"/>
          <w:szCs w:val="24"/>
          <w:lang w:val="es-ES"/>
        </w:rPr>
        <w:t>oridad competente para decidir </w:t>
      </w:r>
      <w:r w:rsidRPr="001A4DC9">
        <w:rPr>
          <w:rFonts w:ascii="Arial" w:hAnsi="Arial" w:cs="Arial"/>
          <w:i/>
          <w:iCs/>
          <w:color w:val="000000"/>
          <w:sz w:val="24"/>
          <w:szCs w:val="24"/>
          <w:lang w:val="es-ES"/>
        </w:rPr>
        <w:t>sobre la destitución de los magistrados de la Cor</w:t>
      </w:r>
      <w:r w:rsidR="00490D86" w:rsidRPr="001A4DC9">
        <w:rPr>
          <w:rFonts w:ascii="Arial" w:hAnsi="Arial" w:cs="Arial"/>
          <w:i/>
          <w:iCs/>
          <w:color w:val="000000"/>
          <w:sz w:val="24"/>
          <w:szCs w:val="24"/>
          <w:lang w:val="es-ES"/>
        </w:rPr>
        <w:t>te Suprema. Para determinar el </w:t>
      </w:r>
      <w:r w:rsidRPr="001A4DC9">
        <w:rPr>
          <w:rFonts w:ascii="Arial" w:hAnsi="Arial" w:cs="Arial"/>
          <w:i/>
          <w:iCs/>
          <w:color w:val="000000"/>
          <w:sz w:val="24"/>
          <w:szCs w:val="24"/>
          <w:lang w:val="es-ES"/>
        </w:rPr>
        <w:t xml:space="preserve">alcance de las violaciones en este caso, la Corte entra a analizar el mecanismo ad-hoc </w:t>
      </w:r>
      <w:r w:rsidR="00490D86" w:rsidRPr="001A4DC9">
        <w:rPr>
          <w:rFonts w:ascii="Arial" w:hAnsi="Arial" w:cs="Arial"/>
          <w:i/>
          <w:iCs/>
          <w:color w:val="000000"/>
          <w:sz w:val="24"/>
          <w:szCs w:val="24"/>
          <w:lang w:val="es-ES"/>
        </w:rPr>
        <w:t>utilizado por el Congreso para </w:t>
      </w:r>
      <w:r w:rsidRPr="001A4DC9">
        <w:rPr>
          <w:rFonts w:ascii="Arial" w:hAnsi="Arial" w:cs="Arial"/>
          <w:i/>
          <w:iCs/>
          <w:color w:val="000000"/>
          <w:sz w:val="24"/>
          <w:szCs w:val="24"/>
          <w:lang w:val="es-ES"/>
        </w:rPr>
        <w:t>cesar a los magistrados.</w:t>
      </w:r>
    </w:p>
    <w:p w:rsidR="008E540A" w:rsidRPr="001A4DC9" w:rsidRDefault="00490D86" w:rsidP="00E10C89">
      <w:pPr>
        <w:shd w:val="clear" w:color="auto" w:fill="FFFFFF"/>
        <w:spacing w:before="4" w:after="240" w:line="360" w:lineRule="auto"/>
        <w:ind w:left="1276"/>
        <w:jc w:val="both"/>
        <w:textAlignment w:val="top"/>
        <w:rPr>
          <w:rFonts w:ascii="Arial" w:hAnsi="Arial" w:cs="Arial"/>
          <w:i/>
          <w:iCs/>
          <w:color w:val="000000"/>
          <w:sz w:val="24"/>
          <w:szCs w:val="24"/>
          <w:lang w:val="es-ES"/>
        </w:rPr>
      </w:pPr>
      <w:r w:rsidRPr="001A4DC9">
        <w:rPr>
          <w:rFonts w:ascii="Arial" w:hAnsi="Arial" w:cs="Arial"/>
          <w:i/>
          <w:iCs/>
          <w:color w:val="000000"/>
          <w:sz w:val="24"/>
          <w:szCs w:val="24"/>
          <w:lang w:val="es-ES"/>
        </w:rPr>
        <w:t>167. Para la </w:t>
      </w:r>
      <w:r w:rsidR="008E540A" w:rsidRPr="001A4DC9">
        <w:rPr>
          <w:rFonts w:ascii="Arial" w:hAnsi="Arial" w:cs="Arial"/>
          <w:i/>
          <w:iCs/>
          <w:color w:val="000000"/>
          <w:sz w:val="24"/>
          <w:szCs w:val="24"/>
          <w:lang w:val="es-ES"/>
        </w:rPr>
        <w:t>Corte es claro que la disposición transitoria vigésimo quinta no podía ser el  fundamento para sustentar la decisión de cesar a los magistrados de sus cargos,  de manera que no se estaba cumpliendo con uno de los supuestos permitidos para  la separación de los jueces de su cargo, es decir, que se hubiera cumplido con  el plazo o período de su función, de conformidad con los estándares sobre  independencia judicial establecidos por este Tribunal.</w:t>
      </w:r>
    </w:p>
    <w:p w:rsidR="008E540A" w:rsidRPr="001A4DC9" w:rsidRDefault="008E540A" w:rsidP="00E10C89">
      <w:pPr>
        <w:shd w:val="clear" w:color="auto" w:fill="FFFFFF"/>
        <w:spacing w:before="4" w:after="240" w:line="360" w:lineRule="auto"/>
        <w:ind w:left="1276"/>
        <w:jc w:val="both"/>
        <w:textAlignment w:val="top"/>
        <w:rPr>
          <w:rFonts w:ascii="Arial" w:hAnsi="Arial" w:cs="Arial"/>
          <w:i/>
          <w:iCs/>
          <w:color w:val="000000"/>
          <w:sz w:val="24"/>
          <w:szCs w:val="24"/>
          <w:lang w:val="es-ES"/>
        </w:rPr>
      </w:pPr>
      <w:r w:rsidRPr="001A4DC9">
        <w:rPr>
          <w:rFonts w:ascii="Arial" w:hAnsi="Arial" w:cs="Arial"/>
          <w:i/>
          <w:iCs/>
          <w:color w:val="000000"/>
          <w:sz w:val="24"/>
          <w:szCs w:val="24"/>
          <w:lang w:val="es-ES"/>
        </w:rPr>
        <w:t>168. Si bien ya se declaró que el Congreso no</w:t>
      </w:r>
      <w:r w:rsidR="00490D86" w:rsidRPr="001A4DC9">
        <w:rPr>
          <w:rFonts w:ascii="Arial" w:hAnsi="Arial" w:cs="Arial"/>
          <w:i/>
          <w:iCs/>
          <w:color w:val="000000"/>
          <w:sz w:val="24"/>
          <w:szCs w:val="24"/>
          <w:lang w:val="es-ES"/>
        </w:rPr>
        <w:t xml:space="preserve"> tenía competencia para cesar a</w:t>
      </w:r>
      <w:r w:rsidRPr="001A4DC9">
        <w:rPr>
          <w:rFonts w:ascii="Arial" w:hAnsi="Arial" w:cs="Arial"/>
          <w:i/>
          <w:iCs/>
          <w:color w:val="000000"/>
          <w:sz w:val="24"/>
          <w:szCs w:val="24"/>
          <w:lang w:val="es-ES"/>
        </w:rPr>
        <w:t xml:space="preserve"> los magistrados de la Corte Suprema de sus ca</w:t>
      </w:r>
      <w:r w:rsidR="00490D86" w:rsidRPr="001A4DC9">
        <w:rPr>
          <w:rFonts w:ascii="Arial" w:hAnsi="Arial" w:cs="Arial"/>
          <w:i/>
          <w:iCs/>
          <w:color w:val="000000"/>
          <w:sz w:val="24"/>
          <w:szCs w:val="24"/>
          <w:lang w:val="es-ES"/>
        </w:rPr>
        <w:t>rgos, teniendo en cuenta que el</w:t>
      </w:r>
      <w:r w:rsidRPr="001A4DC9">
        <w:rPr>
          <w:rFonts w:ascii="Arial" w:hAnsi="Arial" w:cs="Arial"/>
          <w:i/>
          <w:iCs/>
          <w:color w:val="000000"/>
          <w:sz w:val="24"/>
          <w:szCs w:val="24"/>
          <w:lang w:val="es-ES"/>
        </w:rPr>
        <w:t xml:space="preserve"> Estado realizó un allanamiento sobre este punto y que es una de las </w:t>
      </w:r>
      <w:r w:rsidR="00490D86" w:rsidRPr="001A4DC9">
        <w:rPr>
          <w:rFonts w:ascii="Arial" w:hAnsi="Arial" w:cs="Arial"/>
          <w:i/>
          <w:iCs/>
          <w:color w:val="000000"/>
          <w:sz w:val="24"/>
          <w:szCs w:val="24"/>
          <w:lang w:val="es-ES"/>
        </w:rPr>
        <w:t>garantías</w:t>
      </w:r>
      <w:r w:rsidRPr="001A4DC9">
        <w:rPr>
          <w:rFonts w:ascii="Arial" w:hAnsi="Arial" w:cs="Arial"/>
          <w:i/>
          <w:iCs/>
          <w:color w:val="000000"/>
          <w:sz w:val="24"/>
          <w:szCs w:val="24"/>
          <w:lang w:val="es-ES"/>
        </w:rPr>
        <w:t xml:space="preserve"> establecidas en el artículo 8.1 de la Convención, la Corte entrará</w:t>
      </w:r>
      <w:r w:rsidR="00490D86" w:rsidRPr="001A4DC9">
        <w:rPr>
          <w:rFonts w:ascii="Arial" w:hAnsi="Arial" w:cs="Arial"/>
          <w:i/>
          <w:iCs/>
          <w:color w:val="000000"/>
          <w:sz w:val="24"/>
          <w:szCs w:val="24"/>
          <w:lang w:val="es-ES"/>
        </w:rPr>
        <w:t xml:space="preserve"> a analizarla. El Tribunal ha </w:t>
      </w:r>
      <w:r w:rsidRPr="001A4DC9">
        <w:rPr>
          <w:rFonts w:ascii="Arial" w:hAnsi="Arial" w:cs="Arial"/>
          <w:i/>
          <w:iCs/>
          <w:color w:val="000000"/>
          <w:sz w:val="24"/>
          <w:szCs w:val="24"/>
          <w:lang w:val="es-ES"/>
        </w:rPr>
        <w:t>desarrollado el derecho a ser oído prot</w:t>
      </w:r>
      <w:r w:rsidR="00490D86" w:rsidRPr="001A4DC9">
        <w:rPr>
          <w:rFonts w:ascii="Arial" w:hAnsi="Arial" w:cs="Arial"/>
          <w:i/>
          <w:iCs/>
          <w:color w:val="000000"/>
          <w:sz w:val="24"/>
          <w:szCs w:val="24"/>
          <w:lang w:val="es-ES"/>
        </w:rPr>
        <w:t>egido en el artículo 8.1 de la </w:t>
      </w:r>
      <w:r w:rsidRPr="001A4DC9">
        <w:rPr>
          <w:rFonts w:ascii="Arial" w:hAnsi="Arial" w:cs="Arial"/>
          <w:i/>
          <w:iCs/>
          <w:color w:val="000000"/>
          <w:sz w:val="24"/>
          <w:szCs w:val="24"/>
          <w:lang w:val="es-ES"/>
        </w:rPr>
        <w:t>Convención, en el sentido general de comprender el derecho de toda persona a</w:t>
      </w:r>
      <w:r w:rsidR="00490D86" w:rsidRPr="001A4DC9">
        <w:rPr>
          <w:rFonts w:ascii="Arial" w:hAnsi="Arial" w:cs="Arial"/>
          <w:i/>
          <w:iCs/>
          <w:color w:val="000000"/>
          <w:sz w:val="24"/>
          <w:szCs w:val="24"/>
          <w:lang w:val="es-ES"/>
        </w:rPr>
        <w:t> </w:t>
      </w:r>
      <w:r w:rsidRPr="001A4DC9">
        <w:rPr>
          <w:rFonts w:ascii="Arial" w:hAnsi="Arial" w:cs="Arial"/>
          <w:i/>
          <w:iCs/>
          <w:color w:val="000000"/>
          <w:sz w:val="24"/>
          <w:szCs w:val="24"/>
          <w:lang w:val="es-ES"/>
        </w:rPr>
        <w:t>tener acceso al tribunal u órgano estatal encar</w:t>
      </w:r>
      <w:r w:rsidR="00490D86" w:rsidRPr="001A4DC9">
        <w:rPr>
          <w:rFonts w:ascii="Arial" w:hAnsi="Arial" w:cs="Arial"/>
          <w:i/>
          <w:iCs/>
          <w:color w:val="000000"/>
          <w:sz w:val="24"/>
          <w:szCs w:val="24"/>
          <w:lang w:val="es-ES"/>
        </w:rPr>
        <w:t>gado de determinar sus derechos</w:t>
      </w:r>
      <w:r w:rsidRPr="001A4DC9">
        <w:rPr>
          <w:rFonts w:ascii="Arial" w:hAnsi="Arial" w:cs="Arial"/>
          <w:i/>
          <w:iCs/>
          <w:color w:val="000000"/>
          <w:sz w:val="24"/>
          <w:szCs w:val="24"/>
          <w:lang w:val="es-ES"/>
        </w:rPr>
        <w:t xml:space="preserve"> y obligaciones. (…)</w:t>
      </w:r>
    </w:p>
    <w:p w:rsidR="008E540A" w:rsidRPr="001A4DC9" w:rsidRDefault="008E540A" w:rsidP="00E10C89">
      <w:pPr>
        <w:spacing w:before="4" w:after="240" w:line="360" w:lineRule="auto"/>
        <w:ind w:left="1276"/>
        <w:jc w:val="both"/>
        <w:rPr>
          <w:rFonts w:ascii="Arial" w:hAnsi="Arial" w:cs="Arial"/>
          <w:i/>
          <w:sz w:val="24"/>
          <w:szCs w:val="24"/>
          <w:lang w:val="es-ES" w:eastAsia="en-US"/>
        </w:rPr>
      </w:pPr>
      <w:r w:rsidRPr="001A4DC9">
        <w:rPr>
          <w:rFonts w:ascii="Arial" w:hAnsi="Arial" w:cs="Arial"/>
          <w:i/>
          <w:iCs/>
          <w:color w:val="000000"/>
          <w:sz w:val="24"/>
          <w:szCs w:val="24"/>
          <w:lang w:val="es-ES"/>
        </w:rPr>
        <w:t>170. [E]n las circunstan</w:t>
      </w:r>
      <w:r w:rsidR="00490D86" w:rsidRPr="001A4DC9">
        <w:rPr>
          <w:rFonts w:ascii="Arial" w:hAnsi="Arial" w:cs="Arial"/>
          <w:i/>
          <w:iCs/>
          <w:color w:val="000000"/>
          <w:sz w:val="24"/>
          <w:szCs w:val="24"/>
          <w:lang w:val="es-ES"/>
        </w:rPr>
        <w:t>cias del presente caso, que se </w:t>
      </w:r>
      <w:r w:rsidRPr="001A4DC9">
        <w:rPr>
          <w:rFonts w:ascii="Arial" w:hAnsi="Arial" w:cs="Arial"/>
          <w:i/>
          <w:iCs/>
          <w:color w:val="000000"/>
          <w:sz w:val="24"/>
          <w:szCs w:val="24"/>
          <w:lang w:val="es-ES"/>
        </w:rPr>
        <w:t xml:space="preserve">diferencia de otros casos anteriores referidos </w:t>
      </w:r>
      <w:r w:rsidR="00490D86" w:rsidRPr="001A4DC9">
        <w:rPr>
          <w:rFonts w:ascii="Arial" w:hAnsi="Arial" w:cs="Arial"/>
          <w:i/>
          <w:iCs/>
          <w:color w:val="000000"/>
          <w:sz w:val="24"/>
          <w:szCs w:val="24"/>
          <w:lang w:val="es-ES"/>
        </w:rPr>
        <w:t>a la destitución arbitraria de </w:t>
      </w:r>
      <w:r w:rsidRPr="001A4DC9">
        <w:rPr>
          <w:rFonts w:ascii="Arial" w:hAnsi="Arial" w:cs="Arial"/>
          <w:i/>
          <w:iCs/>
          <w:color w:val="000000"/>
          <w:sz w:val="24"/>
          <w:szCs w:val="24"/>
          <w:lang w:val="es-ES"/>
        </w:rPr>
        <w:t xml:space="preserve">jueces en forma </w:t>
      </w:r>
      <w:r w:rsidRPr="001A4DC9">
        <w:rPr>
          <w:rFonts w:ascii="Arial" w:hAnsi="Arial" w:cs="Arial"/>
          <w:i/>
          <w:iCs/>
          <w:color w:val="000000"/>
          <w:sz w:val="24"/>
          <w:szCs w:val="24"/>
          <w:lang w:val="es-ES"/>
        </w:rPr>
        <w:lastRenderedPageBreak/>
        <w:t xml:space="preserve">aislada, </w:t>
      </w:r>
      <w:r w:rsidRPr="001A4DC9">
        <w:rPr>
          <w:rFonts w:ascii="Arial" w:hAnsi="Arial" w:cs="Arial"/>
          <w:i/>
          <w:iCs/>
          <w:color w:val="000000"/>
          <w:sz w:val="24"/>
          <w:szCs w:val="24"/>
          <w:u w:val="single"/>
          <w:lang w:val="es-ES"/>
        </w:rPr>
        <w:t>es fundamental desa</w:t>
      </w:r>
      <w:r w:rsidR="00490D86" w:rsidRPr="001A4DC9">
        <w:rPr>
          <w:rFonts w:ascii="Arial" w:hAnsi="Arial" w:cs="Arial"/>
          <w:i/>
          <w:iCs/>
          <w:color w:val="000000"/>
          <w:sz w:val="24"/>
          <w:szCs w:val="24"/>
          <w:u w:val="single"/>
          <w:lang w:val="es-ES"/>
        </w:rPr>
        <w:t>rrollar con más detalle en qué </w:t>
      </w:r>
      <w:r w:rsidRPr="001A4DC9">
        <w:rPr>
          <w:rFonts w:ascii="Arial" w:hAnsi="Arial" w:cs="Arial"/>
          <w:i/>
          <w:iCs/>
          <w:color w:val="000000"/>
          <w:sz w:val="24"/>
          <w:szCs w:val="24"/>
          <w:u w:val="single"/>
          <w:lang w:val="es-ES"/>
        </w:rPr>
        <w:t xml:space="preserve">medida el cese masivo de jueces, particularmente </w:t>
      </w:r>
      <w:r w:rsidR="00490D86" w:rsidRPr="001A4DC9">
        <w:rPr>
          <w:rFonts w:ascii="Arial" w:hAnsi="Arial" w:cs="Arial"/>
          <w:i/>
          <w:iCs/>
          <w:color w:val="000000"/>
          <w:sz w:val="24"/>
          <w:szCs w:val="24"/>
          <w:u w:val="single"/>
          <w:lang w:val="es-ES"/>
        </w:rPr>
        <w:t>de Altas Cortes, constituye no </w:t>
      </w:r>
      <w:r w:rsidRPr="001A4DC9">
        <w:rPr>
          <w:rFonts w:ascii="Arial" w:hAnsi="Arial" w:cs="Arial"/>
          <w:i/>
          <w:iCs/>
          <w:color w:val="000000"/>
          <w:sz w:val="24"/>
          <w:szCs w:val="24"/>
          <w:u w:val="single"/>
          <w:lang w:val="es-ES"/>
        </w:rPr>
        <w:t>sólo un atentado contra la independencia judicial sino también contra el orden democrático</w:t>
      </w:r>
    </w:p>
    <w:p w:rsidR="008E540A" w:rsidRPr="001A4DC9" w:rsidRDefault="00490D86" w:rsidP="00E10C89">
      <w:pPr>
        <w:shd w:val="clear" w:color="auto" w:fill="FFFFFF"/>
        <w:spacing w:before="4" w:after="240" w:line="360" w:lineRule="auto"/>
        <w:ind w:left="1276"/>
        <w:jc w:val="both"/>
        <w:textAlignment w:val="top"/>
        <w:rPr>
          <w:rFonts w:ascii="Arial" w:hAnsi="Arial" w:cs="Arial"/>
          <w:i/>
          <w:iCs/>
          <w:color w:val="000000"/>
          <w:sz w:val="24"/>
          <w:szCs w:val="24"/>
          <w:lang w:val="es-ES"/>
        </w:rPr>
      </w:pPr>
      <w:r w:rsidRPr="001A4DC9">
        <w:rPr>
          <w:rFonts w:ascii="Arial" w:hAnsi="Arial" w:cs="Arial"/>
          <w:i/>
          <w:iCs/>
          <w:color w:val="000000"/>
          <w:sz w:val="24"/>
          <w:szCs w:val="24"/>
          <w:lang w:val="es-ES"/>
        </w:rPr>
        <w:t>178. El </w:t>
      </w:r>
      <w:r w:rsidR="008E540A" w:rsidRPr="001A4DC9">
        <w:rPr>
          <w:rFonts w:ascii="Arial" w:hAnsi="Arial" w:cs="Arial"/>
          <w:i/>
          <w:iCs/>
          <w:color w:val="000000"/>
          <w:sz w:val="24"/>
          <w:szCs w:val="24"/>
          <w:lang w:val="es-ES"/>
        </w:rPr>
        <w:t>Tribunal estima que, en las circunstanci</w:t>
      </w:r>
      <w:r w:rsidRPr="001A4DC9">
        <w:rPr>
          <w:rFonts w:ascii="Arial" w:hAnsi="Arial" w:cs="Arial"/>
          <w:i/>
          <w:iCs/>
          <w:color w:val="000000"/>
          <w:sz w:val="24"/>
          <w:szCs w:val="24"/>
          <w:lang w:val="es-ES"/>
        </w:rPr>
        <w:t>as del presente caso, el haber </w:t>
      </w:r>
      <w:r w:rsidR="008E540A" w:rsidRPr="001A4DC9">
        <w:rPr>
          <w:rFonts w:ascii="Arial" w:hAnsi="Arial" w:cs="Arial"/>
          <w:i/>
          <w:iCs/>
          <w:color w:val="000000"/>
          <w:sz w:val="24"/>
          <w:szCs w:val="24"/>
          <w:lang w:val="es-ES"/>
        </w:rPr>
        <w:t xml:space="preserve">destituido en forma arbitraria a toda la Corte </w:t>
      </w:r>
      <w:r w:rsidRPr="001A4DC9">
        <w:rPr>
          <w:rFonts w:ascii="Arial" w:hAnsi="Arial" w:cs="Arial"/>
          <w:i/>
          <w:iCs/>
          <w:color w:val="000000"/>
          <w:sz w:val="24"/>
          <w:szCs w:val="24"/>
          <w:lang w:val="es-ES"/>
        </w:rPr>
        <w:t>Suprema constituyó un atentado </w:t>
      </w:r>
      <w:r w:rsidR="008E540A" w:rsidRPr="001A4DC9">
        <w:rPr>
          <w:rFonts w:ascii="Arial" w:hAnsi="Arial" w:cs="Arial"/>
          <w:i/>
          <w:iCs/>
          <w:color w:val="000000"/>
          <w:sz w:val="24"/>
          <w:szCs w:val="24"/>
          <w:lang w:val="es-ES"/>
        </w:rPr>
        <w:t>contra la independencia judicial, alteró el o</w:t>
      </w:r>
      <w:r w:rsidRPr="001A4DC9">
        <w:rPr>
          <w:rFonts w:ascii="Arial" w:hAnsi="Arial" w:cs="Arial"/>
          <w:i/>
          <w:iCs/>
          <w:color w:val="000000"/>
          <w:sz w:val="24"/>
          <w:szCs w:val="24"/>
          <w:lang w:val="es-ES"/>
        </w:rPr>
        <w:t>rden democrático, el Estado de </w:t>
      </w:r>
      <w:r w:rsidR="008E540A" w:rsidRPr="001A4DC9">
        <w:rPr>
          <w:rFonts w:ascii="Arial" w:hAnsi="Arial" w:cs="Arial"/>
          <w:i/>
          <w:iCs/>
          <w:color w:val="000000"/>
          <w:sz w:val="24"/>
          <w:szCs w:val="24"/>
          <w:lang w:val="es-ES"/>
        </w:rPr>
        <w:t xml:space="preserve">Derecho </w:t>
      </w:r>
      <w:r w:rsidR="008E540A" w:rsidRPr="001A4DC9">
        <w:rPr>
          <w:rFonts w:ascii="Arial" w:hAnsi="Arial" w:cs="Arial"/>
          <w:i/>
          <w:iCs/>
          <w:color w:val="000000"/>
          <w:sz w:val="24"/>
          <w:szCs w:val="24"/>
          <w:u w:val="single"/>
          <w:lang w:val="es-ES"/>
        </w:rPr>
        <w:t>e implicó que en ese momento no exist</w:t>
      </w:r>
      <w:r w:rsidRPr="001A4DC9">
        <w:rPr>
          <w:rFonts w:ascii="Arial" w:hAnsi="Arial" w:cs="Arial"/>
          <w:i/>
          <w:iCs/>
          <w:color w:val="000000"/>
          <w:sz w:val="24"/>
          <w:szCs w:val="24"/>
          <w:u w:val="single"/>
          <w:lang w:val="es-ES"/>
        </w:rPr>
        <w:t>iera una separación real de</w:t>
      </w:r>
      <w:r w:rsidR="008E540A" w:rsidRPr="001A4DC9">
        <w:rPr>
          <w:rFonts w:ascii="Arial" w:hAnsi="Arial" w:cs="Arial"/>
          <w:i/>
          <w:iCs/>
          <w:color w:val="000000"/>
          <w:sz w:val="24"/>
          <w:szCs w:val="24"/>
          <w:u w:val="single"/>
          <w:lang w:val="es-ES"/>
        </w:rPr>
        <w:t xml:space="preserve"> poderes</w:t>
      </w:r>
      <w:r w:rsidR="008E540A" w:rsidRPr="001A4DC9">
        <w:rPr>
          <w:rFonts w:ascii="Arial" w:hAnsi="Arial" w:cs="Arial"/>
          <w:i/>
          <w:iCs/>
          <w:color w:val="000000"/>
          <w:sz w:val="24"/>
          <w:szCs w:val="24"/>
          <w:lang w:val="es-ES"/>
        </w:rPr>
        <w:t>. Además, implicó una desestabilización tanto del poder judicial como del país en general y desencadenó que, con la profundización de la crisis política, durante siete meses no se contara con la Corte Suprema de Justicia, con los efectos negativos que ello implica en la protección de los derechos de los ciudadanos.</w:t>
      </w:r>
    </w:p>
    <w:p w:rsidR="008E540A" w:rsidRPr="001A4DC9" w:rsidRDefault="006E7AF7" w:rsidP="00E10C89">
      <w:pPr>
        <w:spacing w:before="4" w:after="240" w:line="360" w:lineRule="auto"/>
        <w:jc w:val="both"/>
        <w:rPr>
          <w:rFonts w:ascii="Arial" w:hAnsi="Arial" w:cs="Arial"/>
          <w:b/>
          <w:bCs/>
          <w:sz w:val="24"/>
          <w:szCs w:val="24"/>
          <w:lang w:val="es-ES"/>
        </w:rPr>
      </w:pPr>
      <w:r w:rsidRPr="001A4DC9">
        <w:rPr>
          <w:rFonts w:ascii="Arial" w:hAnsi="Arial" w:cs="Arial"/>
          <w:b/>
          <w:bCs/>
          <w:sz w:val="24"/>
          <w:szCs w:val="24"/>
          <w:lang w:val="es-ES"/>
        </w:rPr>
        <w:t>3.5. Caso López Lone y otros vs. Honduras (2015)</w:t>
      </w:r>
    </w:p>
    <w:p w:rsidR="00E10C89" w:rsidRPr="001A4DC9" w:rsidRDefault="008E540A" w:rsidP="00E10C89">
      <w:pPr>
        <w:spacing w:before="4" w:after="240" w:line="360" w:lineRule="auto"/>
        <w:jc w:val="both"/>
        <w:rPr>
          <w:rFonts w:ascii="Arial" w:hAnsi="Arial" w:cs="Arial"/>
          <w:sz w:val="24"/>
          <w:szCs w:val="24"/>
          <w:lang w:val="es-ES"/>
        </w:rPr>
      </w:pPr>
      <w:r w:rsidRPr="001A4DC9">
        <w:rPr>
          <w:rFonts w:ascii="Arial" w:hAnsi="Arial" w:cs="Arial"/>
          <w:sz w:val="24"/>
          <w:szCs w:val="24"/>
          <w:lang w:val="es-ES"/>
        </w:rPr>
        <w:t>En el caso López Lone y otros vs. Honduras, sentencia de 5 de octubre de 2015, se declaró que el Estado era responsable por la violación a la libertad de expresión, derecho de reunión, derechos políticos, derecho de asociación, garantías judiciales, protección judicial, derecho a permanecer en el cargo en condiciones de igualdad y el principio de legalidad, en el marco de los procesos disciplinarios realizados en contra de cuatro jueces fueron destituidos del Poder Judicial.</w:t>
      </w:r>
    </w:p>
    <w:p w:rsidR="008E540A" w:rsidRPr="001A4DC9" w:rsidRDefault="008E540A" w:rsidP="00E10C89">
      <w:pPr>
        <w:spacing w:before="4" w:after="240" w:line="360" w:lineRule="auto"/>
        <w:jc w:val="both"/>
        <w:rPr>
          <w:rFonts w:ascii="Arial" w:hAnsi="Arial" w:cs="Arial"/>
          <w:sz w:val="24"/>
          <w:szCs w:val="24"/>
          <w:lang w:val="es-ES"/>
        </w:rPr>
      </w:pPr>
      <w:r w:rsidRPr="001A4DC9">
        <w:rPr>
          <w:rFonts w:ascii="Arial" w:hAnsi="Arial" w:cs="Arial"/>
          <w:sz w:val="24"/>
          <w:szCs w:val="24"/>
          <w:lang w:val="es-ES"/>
        </w:rPr>
        <w:t>Los procesos disciplinarios seguidos contra las presuntas víctimas fueron instaurados con el objeto de sancionar los actos o expresiones que realizaron en contra del golpe de Estado y estuvieron plagados de múltiples irregularidades que afectaron el debido proceso.</w:t>
      </w:r>
    </w:p>
    <w:p w:rsidR="008E540A" w:rsidRPr="001A4DC9" w:rsidRDefault="008E540A" w:rsidP="00E10C89">
      <w:pPr>
        <w:spacing w:before="4" w:after="240" w:line="360" w:lineRule="auto"/>
        <w:ind w:left="1276"/>
        <w:jc w:val="both"/>
        <w:rPr>
          <w:rFonts w:ascii="Arial" w:hAnsi="Arial" w:cs="Arial"/>
          <w:i/>
          <w:iCs/>
          <w:sz w:val="24"/>
          <w:szCs w:val="24"/>
          <w:lang w:val="es-ES"/>
        </w:rPr>
      </w:pPr>
      <w:r w:rsidRPr="001A4DC9">
        <w:rPr>
          <w:rFonts w:ascii="Arial" w:hAnsi="Arial" w:cs="Arial"/>
          <w:i/>
          <w:iCs/>
          <w:sz w:val="24"/>
          <w:szCs w:val="24"/>
          <w:lang w:val="es-ES"/>
        </w:rPr>
        <w:lastRenderedPageBreak/>
        <w:t>“153. En el presente caso, las cuatro presuntas víctimas, tres jueces y una magistrada de la República de Honduras, se manifestaron en contra del golpe de Estado y a favor del restablecimiento de la democracia y el Estado de Derecho, ya sea mediante su participación en una manifestación, por vía de la interposición de acciones judiciales o denuncias, a través de una opinión manifestada en el marco de una conferencia universitaria o en conversaciones con colegas. Además, dichas personas se expresaron a través de la AJD, de la cual todos eran miembros, en tanto esta organización emitió comunicados reclamando la necesidad de restitución del Estado de Derecho”.</w:t>
      </w:r>
      <w:bookmarkStart w:id="8" w:name="_Ref431642538"/>
    </w:p>
    <w:p w:rsidR="008E540A" w:rsidRPr="001A4DC9" w:rsidRDefault="008E540A" w:rsidP="00E10C89">
      <w:pPr>
        <w:pStyle w:val="PrrafodeSentencia"/>
        <w:numPr>
          <w:ilvl w:val="0"/>
          <w:numId w:val="0"/>
        </w:numPr>
        <w:spacing w:before="4" w:after="240" w:line="360" w:lineRule="auto"/>
        <w:ind w:left="1276"/>
        <w:rPr>
          <w:rFonts w:ascii="Arial" w:hAnsi="Arial" w:cs="Arial"/>
          <w:i/>
          <w:iCs/>
          <w:sz w:val="24"/>
          <w:szCs w:val="24"/>
          <w:lang w:val="es-ES"/>
        </w:rPr>
      </w:pPr>
      <w:r w:rsidRPr="001A4DC9">
        <w:rPr>
          <w:rFonts w:ascii="Arial" w:hAnsi="Arial" w:cs="Arial"/>
          <w:i/>
          <w:iCs/>
          <w:sz w:val="24"/>
          <w:szCs w:val="24"/>
          <w:lang w:val="es-ES"/>
        </w:rPr>
        <w:t xml:space="preserve">160. </w:t>
      </w:r>
      <w:r w:rsidRPr="001A4DC9">
        <w:rPr>
          <w:rFonts w:ascii="Arial" w:hAnsi="Arial" w:cs="Arial"/>
          <w:i/>
          <w:iCs/>
          <w:sz w:val="24"/>
          <w:szCs w:val="24"/>
          <w:u w:val="single"/>
          <w:lang w:val="es-ES"/>
        </w:rPr>
        <w:t>La Corte ha reconocido la relación existente entre los derechos políticos, la libertad de expresión, el derecho de reunión y la libertad de asociación, y que estos derechos, en conjunto, hacen posible el juego democrático</w:t>
      </w:r>
      <w:r w:rsidRPr="001A4DC9">
        <w:rPr>
          <w:rFonts w:ascii="Arial" w:hAnsi="Arial" w:cs="Arial"/>
          <w:i/>
          <w:iCs/>
          <w:sz w:val="24"/>
          <w:szCs w:val="24"/>
          <w:lang w:val="es-ES"/>
        </w:rPr>
        <w:t>. En situaciones de ruptura institucional, tras un golpe de Estado, la relación entre estos derechos resulta aún más manifiesta, especialmente cuando se ejercen de manera conjunta con la finalidad de protestar contra la actuación de los poderes estatales contraria al orden constitucional y para reclamar el retorno de la democracia. Las manifestaciones y expresiones relacionadas a favor de la democracia deben tener la máxima protección posible y, dependiendo de las circunstancias, pueden estar vinculadas con todos o algunos de los derechos mencionados</w:t>
      </w:r>
      <w:bookmarkEnd w:id="8"/>
      <w:r w:rsidRPr="001A4DC9">
        <w:rPr>
          <w:rFonts w:ascii="Arial" w:hAnsi="Arial" w:cs="Arial"/>
          <w:i/>
          <w:iCs/>
          <w:sz w:val="24"/>
          <w:szCs w:val="24"/>
          <w:lang w:val="es-ES"/>
        </w:rPr>
        <w:t>”.</w:t>
      </w:r>
    </w:p>
    <w:p w:rsidR="008E540A" w:rsidRPr="001A4DC9" w:rsidRDefault="008E540A" w:rsidP="00E10C89">
      <w:pPr>
        <w:spacing w:before="4" w:after="240" w:line="360" w:lineRule="auto"/>
        <w:ind w:left="1276"/>
        <w:jc w:val="both"/>
        <w:rPr>
          <w:rFonts w:ascii="Arial" w:hAnsi="Arial" w:cs="Arial"/>
          <w:i/>
          <w:iCs/>
          <w:sz w:val="24"/>
          <w:szCs w:val="24"/>
          <w:u w:val="single"/>
          <w:lang w:val="es-ES"/>
        </w:rPr>
      </w:pPr>
      <w:r w:rsidRPr="001A4DC9">
        <w:rPr>
          <w:rFonts w:ascii="Arial" w:hAnsi="Arial" w:cs="Arial"/>
          <w:i/>
          <w:iCs/>
          <w:sz w:val="24"/>
          <w:szCs w:val="24"/>
          <w:lang w:val="es-ES"/>
        </w:rPr>
        <w:t xml:space="preserve">218.   La independencia de los jueces debe ser garantizada incluso al interior de la rama judicial. Dicho ejercicio autónomo debe ser garantizado por el Estado tanto en su faceta institucional, esto es, en relación con el Poder Judicial como sistema, así como también en conexión con su vertiente individual, es decir, con relación a la persona del juez específico. El objetivo de la protección radica en evitar que el sistema judicial en general y sus </w:t>
      </w:r>
      <w:r w:rsidRPr="001A4DC9">
        <w:rPr>
          <w:rFonts w:ascii="Arial" w:hAnsi="Arial" w:cs="Arial"/>
          <w:i/>
          <w:iCs/>
          <w:sz w:val="24"/>
          <w:szCs w:val="24"/>
          <w:lang w:val="es-ES"/>
        </w:rPr>
        <w:lastRenderedPageBreak/>
        <w:t xml:space="preserve">integrantes en particular se vean sometidos a posibles restricciones indebidas en el ejercicio de su función por parte de órganos ajenos al Poder Judicial o incluso por parte de aquellos magistrados que ejercen funciones de revisión o apelación. </w:t>
      </w:r>
      <w:r w:rsidRPr="001A4DC9">
        <w:rPr>
          <w:rFonts w:ascii="Arial" w:hAnsi="Arial" w:cs="Arial"/>
          <w:i/>
          <w:iCs/>
          <w:sz w:val="24"/>
          <w:szCs w:val="24"/>
          <w:u w:val="single"/>
          <w:lang w:val="es-ES"/>
        </w:rPr>
        <w:t>Los justiciables tienen el derecho, derivado de la Convención Americana, a que los jueces que resuelven sus controversias sean y aparenten ser independientes.</w:t>
      </w:r>
      <w:bookmarkStart w:id="9" w:name="_Ref427864292"/>
    </w:p>
    <w:p w:rsidR="008E540A" w:rsidRPr="001A4DC9" w:rsidRDefault="008E540A" w:rsidP="00E10C89">
      <w:pPr>
        <w:pStyle w:val="PrrafodeSentencia"/>
        <w:numPr>
          <w:ilvl w:val="0"/>
          <w:numId w:val="0"/>
        </w:numPr>
        <w:spacing w:before="4" w:after="240" w:line="360" w:lineRule="auto"/>
        <w:ind w:left="1276"/>
        <w:rPr>
          <w:rFonts w:ascii="Arial" w:hAnsi="Arial" w:cs="Arial"/>
          <w:i/>
          <w:iCs/>
          <w:sz w:val="24"/>
          <w:szCs w:val="24"/>
          <w:lang w:val="es-ES"/>
        </w:rPr>
      </w:pPr>
      <w:r w:rsidRPr="001A4DC9">
        <w:rPr>
          <w:rFonts w:ascii="Arial" w:hAnsi="Arial" w:cs="Arial"/>
          <w:i/>
          <w:iCs/>
          <w:sz w:val="24"/>
          <w:szCs w:val="24"/>
          <w:lang w:val="es-ES"/>
        </w:rPr>
        <w:t>267. Tratándose de sanciones disciplinarias impuestas a jueces y juezas la exigencia de motivación es aún mayor que en otros procesos disciplinarios, ya que el control disciplinario tiene como objeto valorar la conducta, idoneidad y desempeño del juez como funcionario público y, por ende, correspondería analizar la gravedad de la conducta y la proporcionalidad de la sanción. En el ámbito disciplinario es imprescindible la indicación precisa de aquello que constituye una falta y el desarrollo de argumentos que permitan concluir que las conductas reprochadas tienen la suficiente entidad para justificar que un juez no permanezca en el cargo</w:t>
      </w:r>
      <w:bookmarkEnd w:id="9"/>
      <w:r w:rsidRPr="001A4DC9">
        <w:rPr>
          <w:rFonts w:ascii="Arial" w:hAnsi="Arial" w:cs="Arial"/>
          <w:i/>
          <w:iCs/>
          <w:sz w:val="24"/>
          <w:szCs w:val="24"/>
          <w:lang w:val="es-ES"/>
        </w:rPr>
        <w:t xml:space="preserve">”. </w:t>
      </w:r>
    </w:p>
    <w:p w:rsidR="008E540A" w:rsidRPr="001A4DC9" w:rsidRDefault="008E540A" w:rsidP="00E10C89">
      <w:pPr>
        <w:pStyle w:val="PrrafodeSentencia"/>
        <w:numPr>
          <w:ilvl w:val="0"/>
          <w:numId w:val="0"/>
        </w:numPr>
        <w:spacing w:before="4" w:after="240" w:line="360" w:lineRule="auto"/>
        <w:ind w:left="1276"/>
        <w:rPr>
          <w:rFonts w:ascii="Arial" w:hAnsi="Arial" w:cs="Arial"/>
          <w:i/>
          <w:iCs/>
          <w:sz w:val="24"/>
          <w:szCs w:val="24"/>
          <w:lang w:val="es-ES"/>
        </w:rPr>
      </w:pPr>
      <w:r w:rsidRPr="001A4DC9">
        <w:rPr>
          <w:rFonts w:ascii="Arial" w:hAnsi="Arial" w:cs="Arial"/>
          <w:i/>
          <w:iCs/>
          <w:sz w:val="24"/>
          <w:szCs w:val="24"/>
          <w:lang w:val="es-ES"/>
        </w:rPr>
        <w:t>239. En el presente caso, la Corte concluyó que: los procedimientos disciplinarios a los que fueron sometidos las presuntas víctimas no estaban establecido legalmente; el Consejo de la Carrera Judicial era incompetente y carecía de la independencia necesaria para resolver recursos contra los acuerdos de destitución de la Corte Suprema de Justicia; la forma cómo se integró el Consejo de la Carrera Judicial, para decidir los recursos interpuestos por las presuntas víctimas, no garantizó adecuadamente su imparcialidad, y la Corte Suprema de Justicia no ofrecía garantías objetivas de imparcialidad para pronunciarse sobre las presuntas faltas disciplinarias de las presuntas víctimas, en la medida en que todas estaban relacionadas con conductas relativas al golpe de Estado.</w:t>
      </w:r>
      <w:bookmarkStart w:id="10" w:name="_Ref431213781"/>
      <w:r w:rsidRPr="001A4DC9">
        <w:rPr>
          <w:rFonts w:ascii="Arial" w:hAnsi="Arial" w:cs="Arial"/>
          <w:i/>
          <w:iCs/>
          <w:sz w:val="24"/>
          <w:szCs w:val="24"/>
          <w:lang w:val="es-ES"/>
        </w:rPr>
        <w:t xml:space="preserve"> </w:t>
      </w:r>
      <w:bookmarkEnd w:id="10"/>
    </w:p>
    <w:p w:rsidR="00490D86" w:rsidRPr="001A4DC9" w:rsidRDefault="00490D86" w:rsidP="00E10C89">
      <w:pPr>
        <w:spacing w:before="4" w:after="240" w:line="360" w:lineRule="auto"/>
        <w:jc w:val="both"/>
        <w:rPr>
          <w:rFonts w:ascii="Arial" w:hAnsi="Arial" w:cs="Arial"/>
          <w:b/>
          <w:bCs/>
          <w:sz w:val="24"/>
          <w:szCs w:val="24"/>
          <w:lang w:val="es-ES"/>
        </w:rPr>
      </w:pPr>
    </w:p>
    <w:p w:rsidR="008E540A" w:rsidRPr="001A4DC9" w:rsidRDefault="006E7AF7" w:rsidP="00E10C89">
      <w:pPr>
        <w:spacing w:before="4" w:after="240" w:line="360" w:lineRule="auto"/>
        <w:jc w:val="both"/>
        <w:rPr>
          <w:rFonts w:ascii="Arial" w:hAnsi="Arial" w:cs="Arial"/>
          <w:b/>
          <w:bCs/>
          <w:sz w:val="24"/>
          <w:szCs w:val="24"/>
          <w:lang w:val="es-ES"/>
        </w:rPr>
      </w:pPr>
      <w:r w:rsidRPr="001A4DC9">
        <w:rPr>
          <w:rFonts w:ascii="Arial" w:hAnsi="Arial" w:cs="Arial"/>
          <w:b/>
          <w:bCs/>
          <w:sz w:val="24"/>
          <w:szCs w:val="24"/>
          <w:lang w:val="es-ES"/>
        </w:rPr>
        <w:t>3.6. Caso Colindres Schonenberg vs. El Salvador (2019)</w:t>
      </w:r>
    </w:p>
    <w:p w:rsidR="008E540A" w:rsidRPr="001A4DC9" w:rsidRDefault="008E540A" w:rsidP="00E10C89">
      <w:pPr>
        <w:spacing w:before="4" w:after="240" w:line="360" w:lineRule="auto"/>
        <w:jc w:val="both"/>
        <w:rPr>
          <w:rFonts w:ascii="Arial" w:hAnsi="Arial" w:cs="Arial"/>
          <w:sz w:val="24"/>
          <w:szCs w:val="24"/>
          <w:lang w:val="es-ES"/>
        </w:rPr>
      </w:pPr>
      <w:r w:rsidRPr="001A4DC9">
        <w:rPr>
          <w:rFonts w:ascii="Arial" w:hAnsi="Arial" w:cs="Arial"/>
          <w:sz w:val="24"/>
          <w:szCs w:val="24"/>
          <w:lang w:val="es-ES"/>
        </w:rPr>
        <w:t xml:space="preserve">Por su parte, en el caso Colindres Schonenberg vs. El Salvador, sentencia de 4 de febrero de 2019 se declaró la responsabilidad internacional del Estado por la destitución arbitraria del señor Colindres de su cargo de magistrado del Tribunal Supremo Electoral, al haber sido removido por un órgano incompetente, y sin que existiera un procedimiento previamente establecido. Además, tampoco tuvo acceso a un recurso efectivo para garantizar su protección judicial y existió una demora excesiva del proceso civil de daños y perjuicios. Es evidente, que en este caso se actuó, prácticamente, por las vías de hecho. </w:t>
      </w:r>
    </w:p>
    <w:p w:rsidR="008E540A" w:rsidRPr="001A4DC9" w:rsidRDefault="008E540A" w:rsidP="00E10C89">
      <w:pPr>
        <w:spacing w:before="4" w:after="240" w:line="360" w:lineRule="auto"/>
        <w:jc w:val="both"/>
        <w:rPr>
          <w:rFonts w:ascii="Arial" w:hAnsi="Arial" w:cs="Arial"/>
          <w:sz w:val="24"/>
          <w:szCs w:val="24"/>
          <w:lang w:val="es-ES"/>
        </w:rPr>
      </w:pPr>
      <w:r w:rsidRPr="001A4DC9">
        <w:rPr>
          <w:rFonts w:ascii="Arial" w:hAnsi="Arial" w:cs="Arial"/>
          <w:sz w:val="24"/>
          <w:szCs w:val="24"/>
          <w:lang w:val="es-ES"/>
        </w:rPr>
        <w:t>Lo anterior vulneró los derechos a las garantías judiciales, protección judicial, el derecho a permanecer en el cargo en condiciones de igualdad, las obligaciones de respetar y garantizar derechos y la obligación de adoptar disposiciones de derecho interno.</w:t>
      </w:r>
    </w:p>
    <w:p w:rsidR="006E7AF7" w:rsidRPr="001A4DC9" w:rsidRDefault="006E7AF7" w:rsidP="00E10C89">
      <w:pPr>
        <w:spacing w:before="4" w:after="240" w:line="360" w:lineRule="auto"/>
        <w:jc w:val="both"/>
        <w:rPr>
          <w:rFonts w:ascii="Arial" w:hAnsi="Arial" w:cs="Arial"/>
          <w:b/>
          <w:bCs/>
          <w:sz w:val="24"/>
          <w:szCs w:val="24"/>
          <w:lang w:val="es-ES"/>
        </w:rPr>
      </w:pPr>
      <w:r w:rsidRPr="001A4DC9">
        <w:rPr>
          <w:rFonts w:ascii="Arial" w:hAnsi="Arial" w:cs="Arial"/>
          <w:b/>
          <w:bCs/>
          <w:sz w:val="24"/>
          <w:szCs w:val="24"/>
          <w:lang w:val="es-ES"/>
        </w:rPr>
        <w:t>3.7. Caso Villaseñor Velarde y otros vs. Guatemala</w:t>
      </w:r>
    </w:p>
    <w:p w:rsidR="008E540A" w:rsidRPr="001A4DC9" w:rsidRDefault="008E540A" w:rsidP="00E10C89">
      <w:pPr>
        <w:spacing w:before="4" w:after="240" w:line="360" w:lineRule="auto"/>
        <w:jc w:val="both"/>
        <w:rPr>
          <w:rFonts w:ascii="Arial" w:hAnsi="Arial" w:cs="Arial"/>
          <w:sz w:val="24"/>
          <w:szCs w:val="24"/>
          <w:lang w:val="es-ES"/>
        </w:rPr>
      </w:pPr>
      <w:r w:rsidRPr="001A4DC9">
        <w:rPr>
          <w:rFonts w:ascii="Arial" w:hAnsi="Arial" w:cs="Arial"/>
          <w:sz w:val="24"/>
          <w:szCs w:val="24"/>
          <w:lang w:val="es-ES"/>
        </w:rPr>
        <w:t>En el caso Villaseñor Velarde y otros vs. Guatemala, sentencia de 5 de febrero de 2019, se acreditó la responsabilidad internacional, pues el Estado incumplió su deber de garantizar el derecho a la integridad personal de la señora Villaseñor quien de desempeñaba como jueza, lo cual vio afectado en relación con su independencia judicial. Asimismo, se acreditó una violación a sus derechos a las garantías y protección judiciales.</w:t>
      </w:r>
    </w:p>
    <w:p w:rsidR="008E540A" w:rsidRPr="001A4DC9" w:rsidRDefault="008E540A" w:rsidP="00E10C89">
      <w:pPr>
        <w:spacing w:before="4" w:after="240" w:line="360" w:lineRule="auto"/>
        <w:jc w:val="both"/>
        <w:rPr>
          <w:rFonts w:ascii="Arial" w:hAnsi="Arial" w:cs="Arial"/>
          <w:sz w:val="24"/>
          <w:szCs w:val="24"/>
          <w:lang w:val="es-ES"/>
        </w:rPr>
      </w:pPr>
      <w:r w:rsidRPr="001A4DC9">
        <w:rPr>
          <w:rFonts w:ascii="Arial" w:hAnsi="Arial" w:cs="Arial"/>
          <w:sz w:val="24"/>
          <w:szCs w:val="24"/>
          <w:lang w:val="es-ES"/>
        </w:rPr>
        <w:t>En la motivación de la resolución se indicó:</w:t>
      </w:r>
    </w:p>
    <w:p w:rsidR="008E540A" w:rsidRPr="001A4DC9" w:rsidRDefault="008E540A" w:rsidP="00E10C89">
      <w:pPr>
        <w:spacing w:before="4" w:after="240" w:line="360" w:lineRule="auto"/>
        <w:ind w:left="1276"/>
        <w:jc w:val="both"/>
        <w:rPr>
          <w:rFonts w:ascii="Arial" w:hAnsi="Arial" w:cs="Arial"/>
          <w:i/>
          <w:iCs/>
          <w:sz w:val="24"/>
          <w:szCs w:val="24"/>
          <w:lang w:val="es-ES"/>
        </w:rPr>
      </w:pPr>
      <w:r w:rsidRPr="001A4DC9">
        <w:rPr>
          <w:rFonts w:ascii="Arial" w:hAnsi="Arial" w:cs="Arial"/>
          <w:i/>
          <w:iCs/>
          <w:sz w:val="24"/>
          <w:szCs w:val="24"/>
          <w:lang w:val="es-ES"/>
        </w:rPr>
        <w:t xml:space="preserve">“89. Entre tales hechos, se ha señalado que: </w:t>
      </w:r>
      <w:r w:rsidRPr="001A4DC9">
        <w:rPr>
          <w:rFonts w:ascii="Arial" w:hAnsi="Arial" w:cs="Arial"/>
          <w:i/>
          <w:iCs/>
          <w:sz w:val="24"/>
          <w:szCs w:val="24"/>
          <w:u w:val="single"/>
          <w:lang w:val="es-ES"/>
        </w:rPr>
        <w:t xml:space="preserve">en diversas ocasiones la Jueza recibió amenazas; varias veces destruyeron una llanta del automóvil de la señora Villaseñor; se intentó forzar la puerta de dicho vehículo; dos hombres intentaron ingresar a la casa de la Jueza; hubo presencia de personas fuera </w:t>
      </w:r>
      <w:r w:rsidRPr="001A4DC9">
        <w:rPr>
          <w:rFonts w:ascii="Arial" w:hAnsi="Arial" w:cs="Arial"/>
          <w:i/>
          <w:iCs/>
          <w:sz w:val="24"/>
          <w:szCs w:val="24"/>
          <w:u w:val="single"/>
          <w:lang w:val="es-ES"/>
        </w:rPr>
        <w:lastRenderedPageBreak/>
        <w:t>de esa residencia, a quienes se escuchó proferir expresiones amenazantes, inclusive amenazas de muerte, tales como “a esa vieja la tenemos que matar” u otras similares; dos hombres intentaron ingresar en la misma residencia, y que el 29 de agosto una persona asignada a la seguridad de la señora Villaseñor fue retenida, golpeada, drogada e interrogada sobre la actividad de la señora Villaseñor en causas judiciales</w:t>
      </w:r>
      <w:r w:rsidRPr="001A4DC9">
        <w:rPr>
          <w:rFonts w:ascii="Arial" w:hAnsi="Arial" w:cs="Arial"/>
          <w:i/>
          <w:iCs/>
          <w:sz w:val="24"/>
          <w:szCs w:val="24"/>
          <w:lang w:val="es-ES"/>
        </w:rPr>
        <w:t xml:space="preserve">. Además, se ha referido que los captores expresaron que “iban a matar” a quienes vivían en la residencia de la Jueza. Las indicaciones de las circunstancias señaladas se relacionan a una situación de inseguridad respecto de jueces o juezas en Guatemala (supra párr. 32). </w:t>
      </w:r>
    </w:p>
    <w:p w:rsidR="008E540A" w:rsidRPr="001A4DC9" w:rsidRDefault="008E540A" w:rsidP="00E10C89">
      <w:pPr>
        <w:spacing w:before="4" w:after="240" w:line="360" w:lineRule="auto"/>
        <w:ind w:left="1276"/>
        <w:jc w:val="both"/>
        <w:rPr>
          <w:rFonts w:ascii="Arial" w:hAnsi="Arial" w:cs="Arial"/>
          <w:i/>
          <w:iCs/>
          <w:sz w:val="24"/>
          <w:szCs w:val="24"/>
          <w:lang w:val="es-ES"/>
        </w:rPr>
      </w:pPr>
      <w:r w:rsidRPr="001A4DC9">
        <w:rPr>
          <w:rFonts w:ascii="Arial" w:hAnsi="Arial" w:cs="Arial"/>
          <w:i/>
          <w:iCs/>
          <w:sz w:val="24"/>
          <w:szCs w:val="24"/>
          <w:lang w:val="es-ES"/>
        </w:rPr>
        <w:t>90. La reiteración y continuidad de los hechos debía haber llamado la atención del Estado, sin perjuicio de que no todos ellos hubiesen debido ser materia de investigación; pero queda claro que se trató de una continuidad intimidatoria o concatenada de hechos, que pone de relieve por lo menos la necesidad de agotar los esfuerzos para individualizar sus fuentes y motivaciones.</w:t>
      </w:r>
      <w:r w:rsidR="00490D86" w:rsidRPr="001A4DC9">
        <w:rPr>
          <w:rFonts w:ascii="Arial" w:hAnsi="Arial" w:cs="Arial"/>
          <w:i/>
          <w:iCs/>
          <w:sz w:val="24"/>
          <w:szCs w:val="24"/>
          <w:lang w:val="es-ES"/>
        </w:rPr>
        <w:t>”</w:t>
      </w:r>
      <w:r w:rsidRPr="001A4DC9">
        <w:rPr>
          <w:rFonts w:ascii="Arial" w:hAnsi="Arial" w:cs="Arial"/>
          <w:i/>
          <w:iCs/>
          <w:sz w:val="24"/>
          <w:szCs w:val="24"/>
          <w:lang w:val="es-ES"/>
        </w:rPr>
        <w:t xml:space="preserve"> </w:t>
      </w:r>
    </w:p>
    <w:p w:rsidR="00004D6A" w:rsidRPr="001A4DC9" w:rsidRDefault="00004D6A" w:rsidP="00E10C89">
      <w:pPr>
        <w:spacing w:before="4" w:after="240" w:line="360" w:lineRule="auto"/>
        <w:jc w:val="both"/>
        <w:rPr>
          <w:rFonts w:ascii="Arial" w:hAnsi="Arial" w:cs="Arial"/>
          <w:b/>
          <w:bCs/>
          <w:sz w:val="24"/>
          <w:szCs w:val="24"/>
          <w:lang w:val="es-ES"/>
        </w:rPr>
      </w:pPr>
      <w:r w:rsidRPr="001A4DC9">
        <w:rPr>
          <w:rFonts w:ascii="Arial" w:hAnsi="Arial" w:cs="Arial"/>
          <w:b/>
          <w:bCs/>
          <w:sz w:val="24"/>
          <w:szCs w:val="24"/>
          <w:lang w:val="es-ES"/>
        </w:rPr>
        <w:t xml:space="preserve">4. </w:t>
      </w:r>
      <w:r w:rsidR="00823C3E" w:rsidRPr="001A4DC9">
        <w:rPr>
          <w:rFonts w:ascii="Arial" w:hAnsi="Arial" w:cs="Arial"/>
          <w:b/>
          <w:bCs/>
          <w:sz w:val="24"/>
          <w:szCs w:val="24"/>
          <w:lang w:val="es-ES"/>
        </w:rPr>
        <w:t>La independencia judicial como pilar del Estado Constitucional y Social de Derecho y del fortalecimiento de la democracia en América Latina</w:t>
      </w:r>
    </w:p>
    <w:p w:rsidR="00004D6A" w:rsidRPr="001A4DC9" w:rsidRDefault="00004D6A" w:rsidP="00E10C89">
      <w:pPr>
        <w:spacing w:before="4" w:after="240" w:line="360" w:lineRule="auto"/>
        <w:jc w:val="both"/>
        <w:rPr>
          <w:rFonts w:ascii="Arial" w:hAnsi="Arial" w:cs="Arial"/>
          <w:sz w:val="24"/>
          <w:szCs w:val="24"/>
          <w:lang w:val="es-ES"/>
        </w:rPr>
      </w:pPr>
      <w:r w:rsidRPr="001A4DC9">
        <w:rPr>
          <w:rFonts w:ascii="Arial" w:hAnsi="Arial" w:cs="Arial"/>
          <w:sz w:val="24"/>
          <w:szCs w:val="24"/>
          <w:lang w:val="es-ES"/>
        </w:rPr>
        <w:t xml:space="preserve">En este sentido, la Corte Interamericana en más de 40 años de haber entrado en funciones ha desarrollado en su jurisprudencia una serie de criterios interpretativos sobre la importancia de la independencia judicial en un “Estado Constitucional y Social de Derecho” y la dimensión individual y social que ésta tiene, la cual tiene que ser respetada por todas las autoridades estatales. Es muy importante que una instancia internacional se pronuncie sobre las violaciones a la independencia judicial, porque en al ámbito nacional, la independencia judicial puede ser muy vulnerable, sin que haya una instancia interna que permita corregir actos del poder que lesionan la independencia de los jueces. </w:t>
      </w:r>
    </w:p>
    <w:p w:rsidR="00004D6A" w:rsidRPr="001A4DC9" w:rsidRDefault="00004D6A" w:rsidP="00E10C89">
      <w:pPr>
        <w:spacing w:before="4" w:after="240" w:line="360" w:lineRule="auto"/>
        <w:jc w:val="both"/>
        <w:rPr>
          <w:rFonts w:ascii="Arial" w:hAnsi="Arial" w:cs="Arial"/>
          <w:sz w:val="24"/>
          <w:szCs w:val="24"/>
          <w:lang w:val="es-ES"/>
        </w:rPr>
      </w:pPr>
      <w:r w:rsidRPr="001A4DC9">
        <w:rPr>
          <w:rFonts w:ascii="Arial" w:hAnsi="Arial" w:cs="Arial"/>
          <w:sz w:val="24"/>
          <w:szCs w:val="24"/>
          <w:lang w:val="es-ES"/>
        </w:rPr>
        <w:lastRenderedPageBreak/>
        <w:t xml:space="preserve">Estos criterios interpretativos relativos a la independencia judicial tienen que ser respetados en aplicación del control de convencionalidad por todos los Estados y sus autoridades que han aceptado la competencia contenciosa de la jurisdicción interamericana. Pero esta pretensión a veces se convierte en letra mojada, porque los Estados, en el ámbito local, cuestionan la decisión de la Corte Interamericana. </w:t>
      </w:r>
    </w:p>
    <w:p w:rsidR="00004D6A" w:rsidRPr="001A4DC9" w:rsidRDefault="00004D6A" w:rsidP="00E10C89">
      <w:pPr>
        <w:spacing w:before="4" w:after="240" w:line="360" w:lineRule="auto"/>
        <w:jc w:val="both"/>
        <w:rPr>
          <w:rFonts w:ascii="Arial" w:hAnsi="Arial" w:cs="Arial"/>
          <w:sz w:val="24"/>
          <w:szCs w:val="24"/>
          <w:lang w:val="es-ES"/>
        </w:rPr>
      </w:pPr>
      <w:r w:rsidRPr="001A4DC9">
        <w:rPr>
          <w:rFonts w:ascii="Arial" w:hAnsi="Arial" w:cs="Arial"/>
          <w:sz w:val="24"/>
          <w:szCs w:val="24"/>
          <w:lang w:val="es-ES"/>
        </w:rPr>
        <w:t xml:space="preserve">No obstante lo anterior, por definición, la independencia judicial es débil, requiere un arsenal de garantías, que en medio del silencio del poder jurisdiccional, le garantice que resistirá los embates de los poderes activos de la política, como el parlamento y el ejecutivo. Por esta razón es tan importante que los jueces y sus representantes gremiales, visualicen las instancias internacionales para defender la independencia de los jueces, porque no me cabe la menor duda, que la independencia de la judicatura no ha sido una regla muy arraigada en la mayoría de los países latinoamericanos.  </w:t>
      </w:r>
    </w:p>
    <w:p w:rsidR="00E10C89" w:rsidRPr="001A4DC9" w:rsidRDefault="00004D6A" w:rsidP="00E10C89">
      <w:pPr>
        <w:spacing w:before="4" w:after="240" w:line="360" w:lineRule="auto"/>
        <w:jc w:val="both"/>
        <w:rPr>
          <w:rFonts w:ascii="Arial" w:hAnsi="Arial" w:cs="Arial"/>
          <w:sz w:val="24"/>
          <w:szCs w:val="24"/>
          <w:lang w:val="es-ES"/>
        </w:rPr>
      </w:pPr>
      <w:r w:rsidRPr="001A4DC9">
        <w:rPr>
          <w:rFonts w:ascii="Arial" w:hAnsi="Arial" w:cs="Arial"/>
          <w:sz w:val="24"/>
          <w:szCs w:val="24"/>
          <w:lang w:val="es-ES"/>
        </w:rPr>
        <w:t xml:space="preserve">La independencia de la judicatura debe ser construcción de todos los Poderes, es una convergencia en la que tiene mucho que decir el Parlamento, que es el que elige en la mayoría de los Estados, a los jueces supremos, determinando, de igual forma, los recursos económicos que permiten tener una Administración de Justicia acorde con las aspiraciones constitucionales. La debilidad del Poder Judicial también puede originarse en la forma en que se eligen a sus jueces supremos, porque si el Parlamento no tiene conciencia de la relevancia y la prudencia que requiere el ejercicio de esa potestad, fácilmente naufraga la independencia judicial, como ocurre en muchos países latinoamericanos. El origen del nombramiento de los jueces supremos, puede ser una debilidad, porque como dije, la independencia judicial es una construcción de los otros poderes, si se elige a los jueces, debe ser con criterios que permitan al juez designado, ejercer su cargo con independencia, que es la única forma de contar con un juez digno de una democracia. </w:t>
      </w:r>
    </w:p>
    <w:p w:rsidR="00004D6A" w:rsidRPr="001A4DC9" w:rsidRDefault="00004D6A" w:rsidP="00E10C89">
      <w:pPr>
        <w:spacing w:before="4" w:after="240" w:line="360" w:lineRule="auto"/>
        <w:jc w:val="both"/>
        <w:rPr>
          <w:rFonts w:ascii="Arial" w:hAnsi="Arial" w:cs="Arial"/>
          <w:sz w:val="24"/>
          <w:szCs w:val="24"/>
          <w:lang w:val="es-ES"/>
        </w:rPr>
      </w:pPr>
      <w:r w:rsidRPr="001A4DC9">
        <w:rPr>
          <w:rFonts w:ascii="Arial" w:hAnsi="Arial" w:cs="Arial"/>
          <w:sz w:val="24"/>
          <w:szCs w:val="24"/>
          <w:lang w:val="es-ES"/>
        </w:rPr>
        <w:lastRenderedPageBreak/>
        <w:t xml:space="preserve">Es interesante destacar que en casi todos los conflictos, cuando los poderes se desatan, colonizan el Poder Judicial, socaban su independencia, se pierde así el factor de equilibrio y control que debe asumir la jurisdicción, en algunas ocasiones le dará la razón al Estado y en otras, se las denegará. Sin embargo, generalmente, la judicatura no ha sido un factor de equilibrio o de contrapeso en medio de los intereses en disputa y las pasiones desatadas. </w:t>
      </w:r>
    </w:p>
    <w:p w:rsidR="00004D6A" w:rsidRPr="001A4DC9" w:rsidRDefault="00004D6A" w:rsidP="00E10C89">
      <w:pPr>
        <w:spacing w:before="4" w:after="240" w:line="360" w:lineRule="auto"/>
        <w:jc w:val="both"/>
        <w:rPr>
          <w:rFonts w:ascii="Arial" w:hAnsi="Arial" w:cs="Arial"/>
          <w:sz w:val="24"/>
          <w:szCs w:val="24"/>
          <w:lang w:val="es-ES"/>
        </w:rPr>
      </w:pPr>
      <w:r w:rsidRPr="001A4DC9">
        <w:rPr>
          <w:rFonts w:ascii="Arial" w:hAnsi="Arial" w:cs="Arial"/>
          <w:sz w:val="24"/>
          <w:szCs w:val="24"/>
          <w:lang w:val="es-ES"/>
        </w:rPr>
        <w:t xml:space="preserve">La democracia tiene como uno de sus pilares fundamentales la independencia </w:t>
      </w:r>
      <w:r w:rsidR="00490D86" w:rsidRPr="001A4DC9">
        <w:rPr>
          <w:rFonts w:ascii="Arial" w:hAnsi="Arial" w:cs="Arial"/>
          <w:sz w:val="24"/>
          <w:szCs w:val="24"/>
          <w:lang w:val="es-ES"/>
        </w:rPr>
        <w:t>judicial,</w:t>
      </w:r>
      <w:r w:rsidRPr="001A4DC9">
        <w:rPr>
          <w:rFonts w:ascii="Arial" w:hAnsi="Arial" w:cs="Arial"/>
          <w:sz w:val="24"/>
          <w:szCs w:val="24"/>
          <w:lang w:val="es-ES"/>
        </w:rPr>
        <w:t xml:space="preserve"> pero nos encontramos en una coyuntura particularmente compleja en América Latina en la que la independencia tiende a ser frágil y vulnerable y tiene importantes retos. En todos los países en que se ha producido una ruptura del Estado de Derecho, salvo la excepción de Italia con el proceso denominado “mani pulite”, la judicatura no ha podido controlar a los otros poderes, sus excesos, impidiendo la concentración de funciones. </w:t>
      </w:r>
    </w:p>
    <w:p w:rsidR="00004D6A" w:rsidRPr="001A4DC9" w:rsidRDefault="00004D6A" w:rsidP="00E10C89">
      <w:pPr>
        <w:spacing w:before="4" w:after="240" w:line="360" w:lineRule="auto"/>
        <w:jc w:val="both"/>
        <w:rPr>
          <w:rFonts w:ascii="Arial" w:hAnsi="Arial" w:cs="Arial"/>
          <w:sz w:val="24"/>
          <w:szCs w:val="24"/>
          <w:lang w:val="es-ES"/>
        </w:rPr>
      </w:pPr>
      <w:r w:rsidRPr="001A4DC9">
        <w:rPr>
          <w:rFonts w:ascii="Arial" w:hAnsi="Arial" w:cs="Arial"/>
          <w:sz w:val="24"/>
          <w:szCs w:val="24"/>
          <w:lang w:val="es-ES"/>
        </w:rPr>
        <w:t xml:space="preserve">No basta la valentía de jueces juezas, fiscales, fiscalas, defensores y defensoras. Se requieren garantías muy bien definidas, que sean eficaces, para que la marea de los intereses del poder no derribe la función de la magistratura. La judicatura, un poder relevante, pero tan vulnerable ante las pasiones coyunturales políticos partidistas. </w:t>
      </w:r>
    </w:p>
    <w:p w:rsidR="00004D6A" w:rsidRPr="001A4DC9" w:rsidRDefault="00004D6A" w:rsidP="00E10C89">
      <w:pPr>
        <w:spacing w:before="4" w:after="240" w:line="360" w:lineRule="auto"/>
        <w:jc w:val="both"/>
        <w:rPr>
          <w:rFonts w:ascii="Arial" w:hAnsi="Arial" w:cs="Arial"/>
          <w:sz w:val="24"/>
          <w:szCs w:val="24"/>
          <w:lang w:val="es-ES"/>
        </w:rPr>
      </w:pPr>
      <w:r w:rsidRPr="001A4DC9">
        <w:rPr>
          <w:rFonts w:ascii="Arial" w:hAnsi="Arial" w:cs="Arial"/>
          <w:sz w:val="24"/>
          <w:szCs w:val="24"/>
          <w:lang w:val="es-ES"/>
        </w:rPr>
        <w:t xml:space="preserve">Ello supone que el juez en el ejercicio de sus funciones tiene como vínculos únicamente el ordenamiento jurídico, es decir, la Constitución, los Tratados Internacionales de Derechos Humanos y la ley. Esto se dice fácil, pero qué importante destacarlo en una cultura política Presidencialista, que oculta el caudillismo. Que haya un funcionario que ante los poderes fácticos y formales, resuelva sin consignas, sin las urgencias del poder, eso es todo un reto que desata tentaciones de control. Todos queremos jueces a nuestra medida, a la medida de nuestras desventuras.  Controlar al juez, al fiscal, esa es una pretensión oculta, muy humana, porque no deseamos que el poder que tenemos sea controlado y peor aún si ese control significa que pierda el poder político, ese que desata </w:t>
      </w:r>
      <w:r w:rsidRPr="001A4DC9">
        <w:rPr>
          <w:rFonts w:ascii="Arial" w:hAnsi="Arial" w:cs="Arial"/>
          <w:sz w:val="24"/>
          <w:szCs w:val="24"/>
          <w:lang w:val="es-ES"/>
        </w:rPr>
        <w:lastRenderedPageBreak/>
        <w:t xml:space="preserve">codicias, pasiones y sensualidades. Habrá mayor independencia, sin problemas, si impera la impunidad, concepto tan huidizo y de dimensiones multicolores. </w:t>
      </w:r>
    </w:p>
    <w:p w:rsidR="00004D6A" w:rsidRPr="001A4DC9" w:rsidRDefault="00004D6A" w:rsidP="00E10C89">
      <w:pPr>
        <w:spacing w:before="4" w:after="240" w:line="360" w:lineRule="auto"/>
        <w:jc w:val="both"/>
        <w:rPr>
          <w:rFonts w:ascii="Arial" w:hAnsi="Arial" w:cs="Arial"/>
          <w:sz w:val="24"/>
          <w:szCs w:val="24"/>
          <w:lang w:val="es-ES"/>
        </w:rPr>
      </w:pPr>
      <w:r w:rsidRPr="001A4DC9">
        <w:rPr>
          <w:rFonts w:ascii="Arial" w:hAnsi="Arial" w:cs="Arial"/>
          <w:sz w:val="24"/>
          <w:szCs w:val="24"/>
          <w:lang w:val="es-ES"/>
        </w:rPr>
        <w:t xml:space="preserve">La legitimidad en la designación de un juez en una sociedad democrática se nutre de un procedimiento transparente, conforme a reglas objetivas previamente establecidas que no sean cambiadas a conveniencia y en la que imperan los méritos profesionales, académicos y éticos del candidato. Cabe preguntarse si en cada uno de nuestros países, la designación de los jueces responde a estos parámetros, si existen garantías que hacen del juzgador, que sólo habla en sus decisiones, tiene garantías de inamovilidad e independencia externa e interna. </w:t>
      </w:r>
    </w:p>
    <w:p w:rsidR="00004D6A" w:rsidRPr="001A4DC9" w:rsidRDefault="00004D6A" w:rsidP="00E10C89">
      <w:pPr>
        <w:spacing w:before="4" w:after="240" w:line="360" w:lineRule="auto"/>
        <w:jc w:val="both"/>
        <w:rPr>
          <w:rFonts w:ascii="Arial" w:hAnsi="Arial" w:cs="Arial"/>
          <w:sz w:val="24"/>
          <w:szCs w:val="24"/>
          <w:lang w:val="es-ES"/>
        </w:rPr>
      </w:pPr>
      <w:r w:rsidRPr="001A4DC9">
        <w:rPr>
          <w:rFonts w:ascii="Arial" w:hAnsi="Arial" w:cs="Arial"/>
          <w:sz w:val="24"/>
          <w:szCs w:val="24"/>
          <w:lang w:val="es-ES"/>
        </w:rPr>
        <w:t xml:space="preserve">Es fundamental visualizar cómo es que el sistema político concibe el nombramiento de jueces, no basta lo que digan las normas, es que hay que determinar cómo es que los actores políticos asumen la elección de los integrantes del Tribunal Supremo. Cómo es que conciben la clase política al que debe elegirse como integrante de la cúpula judicial. En medio de las imprecisiones, opacidades y silencios, no es posible saber cuál es el perfil, cuáles son las exigencias o requerimientos que debe tener el miembro de la Suprema que elige el parlamento. Aquí hay una debilidad, muy grande, por cierto. Se ignoran muchos criterios que se proponen sobre este tema. En el silencio en la designación perece la independencia de los jueces.  </w:t>
      </w:r>
    </w:p>
    <w:p w:rsidR="00004D6A" w:rsidRPr="001A4DC9" w:rsidRDefault="00004D6A" w:rsidP="00E10C89">
      <w:pPr>
        <w:spacing w:before="4" w:after="240" w:line="360" w:lineRule="auto"/>
        <w:jc w:val="both"/>
        <w:rPr>
          <w:rFonts w:ascii="Arial" w:hAnsi="Arial" w:cs="Arial"/>
          <w:sz w:val="24"/>
          <w:szCs w:val="24"/>
          <w:lang w:val="es-ES"/>
        </w:rPr>
      </w:pPr>
      <w:r w:rsidRPr="001A4DC9">
        <w:rPr>
          <w:rFonts w:ascii="Arial" w:hAnsi="Arial" w:cs="Arial"/>
          <w:sz w:val="24"/>
          <w:szCs w:val="24"/>
          <w:lang w:val="es-ES"/>
        </w:rPr>
        <w:t xml:space="preserve">La justicia puede ser independiente, cuando resuelve asuntos cotidianos, sin embargo, le cuesta muchísimo serlo cuando define conflictos de poder, cuando juzga a los miembros de la élite gobernante, cuando debe pronunciarse sobre el bien y el mal de los poderes formales y los fácticos, cuando define el contenido y alcance de la Constitución. Esos asuntos sí ponen a prueba la independencia del sistema judicial. En estas materias, la debilidad de la judicatura está al alcance de la mano del poder. Porque como dice el profesor español Alejandro Nieto, en la partidocracia, los partidos no toleran enemigos ni </w:t>
      </w:r>
      <w:r w:rsidRPr="001A4DC9">
        <w:rPr>
          <w:rFonts w:ascii="Arial" w:hAnsi="Arial" w:cs="Arial"/>
          <w:sz w:val="24"/>
          <w:szCs w:val="24"/>
          <w:lang w:val="es-ES"/>
        </w:rPr>
        <w:lastRenderedPageBreak/>
        <w:t xml:space="preserve">respetan la neutralidad del juez, sino que fomentan y premian la fidelidad política </w:t>
      </w:r>
      <w:r w:rsidRPr="001A4DC9">
        <w:rPr>
          <w:rStyle w:val="FootnoteReference"/>
          <w:rFonts w:ascii="Arial" w:hAnsi="Arial" w:cs="Arial"/>
          <w:sz w:val="24"/>
          <w:szCs w:val="24"/>
          <w:lang w:val="es-ES"/>
        </w:rPr>
        <w:footnoteReference w:id="17"/>
      </w:r>
      <w:r w:rsidRPr="001A4DC9">
        <w:rPr>
          <w:rFonts w:ascii="Arial" w:hAnsi="Arial" w:cs="Arial"/>
          <w:sz w:val="24"/>
          <w:szCs w:val="24"/>
          <w:lang w:val="es-ES"/>
        </w:rPr>
        <w:t xml:space="preserve">. Hay una tendencia inevitable de alinear a los jueces, por eso se requieren tantas garantías que reduzcan la dinámica megalómana de partidos y grupos de poder. Respecto del Tribunal español, ha existido un empeño de los partidos políticos por politizar, sin escrúpulos, los nombramientos de sus miembros, lo que ha enturbiado su límpida trayectoria </w:t>
      </w:r>
      <w:r w:rsidRPr="001A4DC9">
        <w:rPr>
          <w:rStyle w:val="FootnoteReference"/>
          <w:rFonts w:ascii="Arial" w:hAnsi="Arial" w:cs="Arial"/>
          <w:sz w:val="24"/>
          <w:szCs w:val="24"/>
          <w:lang w:val="es-ES"/>
        </w:rPr>
        <w:footnoteReference w:id="18"/>
      </w:r>
    </w:p>
    <w:p w:rsidR="00004D6A" w:rsidRPr="001A4DC9" w:rsidRDefault="00004D6A" w:rsidP="00E10C89">
      <w:pPr>
        <w:spacing w:before="4" w:after="240" w:line="360" w:lineRule="auto"/>
        <w:jc w:val="both"/>
        <w:rPr>
          <w:rFonts w:ascii="Arial" w:hAnsi="Arial" w:cs="Arial"/>
          <w:sz w:val="24"/>
          <w:szCs w:val="24"/>
          <w:lang w:val="es-ES"/>
        </w:rPr>
      </w:pPr>
      <w:r w:rsidRPr="001A4DC9">
        <w:rPr>
          <w:rFonts w:ascii="Arial" w:hAnsi="Arial" w:cs="Arial"/>
          <w:sz w:val="24"/>
          <w:szCs w:val="24"/>
          <w:lang w:val="es-ES"/>
        </w:rPr>
        <w:t xml:space="preserve">No estamos en un mundo de normas, de aspiraciones, nos movemos entre las aspiraciones de Platón y Kant, y las realidades políticas de Maquiavelo y Hobbes. Cuántas alabanzas para la justicia y los jueces, cuando resuelven asuntos de trascendencia estrictamente individual, cuánto esfuerzo y entereza, cuando los jueces debemos definir los equilibrios y límites de los poderes y de los que los ejercen. </w:t>
      </w:r>
    </w:p>
    <w:p w:rsidR="00004D6A" w:rsidRPr="001A4DC9" w:rsidRDefault="00004D6A" w:rsidP="00E10C89">
      <w:pPr>
        <w:spacing w:before="4" w:after="240" w:line="360" w:lineRule="auto"/>
        <w:jc w:val="both"/>
        <w:rPr>
          <w:rFonts w:ascii="Arial" w:hAnsi="Arial" w:cs="Arial"/>
          <w:sz w:val="24"/>
          <w:szCs w:val="24"/>
          <w:lang w:val="es-ES"/>
        </w:rPr>
      </w:pPr>
      <w:r w:rsidRPr="001A4DC9">
        <w:rPr>
          <w:rFonts w:ascii="Arial" w:hAnsi="Arial" w:cs="Arial"/>
          <w:sz w:val="24"/>
          <w:szCs w:val="24"/>
          <w:lang w:val="es-ES"/>
        </w:rPr>
        <w:t xml:space="preserve">No es ocioso destacar que el Poder Judicial y el Poder Ejecutivo, son enemigos potenciales y en todo caso, rivales cotidianos. No se trata de antagonismos abstractos, sino que es algo más concreto: es la disputa constante por ocupar “el poder real.” </w:t>
      </w:r>
      <w:r w:rsidRPr="001A4DC9">
        <w:rPr>
          <w:rStyle w:val="FootnoteReference"/>
          <w:rFonts w:ascii="Arial" w:hAnsi="Arial" w:cs="Arial"/>
          <w:sz w:val="24"/>
          <w:szCs w:val="24"/>
          <w:lang w:val="es-ES"/>
        </w:rPr>
        <w:footnoteReference w:id="19"/>
      </w:r>
      <w:r w:rsidRPr="001A4DC9">
        <w:rPr>
          <w:rFonts w:ascii="Arial" w:hAnsi="Arial" w:cs="Arial"/>
          <w:sz w:val="24"/>
          <w:szCs w:val="24"/>
          <w:lang w:val="es-ES"/>
        </w:rPr>
        <w:t xml:space="preserve"> Esta disputa puede manifestarse entre poder el parlamento y el poder judicial. </w:t>
      </w:r>
    </w:p>
    <w:p w:rsidR="008E540A" w:rsidRDefault="00004D6A" w:rsidP="00E10C89">
      <w:pPr>
        <w:spacing w:before="4" w:after="240" w:line="360" w:lineRule="auto"/>
        <w:jc w:val="both"/>
        <w:rPr>
          <w:rFonts w:ascii="Arial" w:hAnsi="Arial" w:cs="Arial"/>
          <w:sz w:val="24"/>
          <w:szCs w:val="24"/>
          <w:lang w:val="es-ES"/>
        </w:rPr>
      </w:pPr>
      <w:r w:rsidRPr="001A4DC9">
        <w:rPr>
          <w:rFonts w:ascii="Arial" w:hAnsi="Arial" w:cs="Arial"/>
          <w:sz w:val="24"/>
          <w:szCs w:val="24"/>
          <w:lang w:val="es-ES"/>
        </w:rPr>
        <w:t xml:space="preserve">Todo esto que he expuesto, son las visiones que se construyen con la esperanza que nos debe dar un mundo con mejor democracia, la que cuesta, la que vive bajo la luz de la crítica y la renovación, sin escapar al escrutinio público. La que tampoco puede escapar al juzgamiento de las instancias internacionales, porque en muchas ocasiones, en plano doméstico, la independencia judicial se convierte en un mero discurso, sin ninguna relevancia práctica.  </w:t>
      </w:r>
    </w:p>
    <w:p w:rsidR="00E10111" w:rsidRDefault="00E10111" w:rsidP="00E10C89">
      <w:pPr>
        <w:spacing w:before="4" w:after="240" w:line="360" w:lineRule="auto"/>
        <w:jc w:val="both"/>
        <w:rPr>
          <w:rFonts w:ascii="Arial" w:hAnsi="Arial" w:cs="Arial"/>
          <w:b/>
          <w:sz w:val="24"/>
          <w:szCs w:val="24"/>
          <w:lang w:val="es-ES"/>
        </w:rPr>
      </w:pPr>
    </w:p>
    <w:p w:rsidR="00E10111" w:rsidRPr="00E10111" w:rsidRDefault="00E10111" w:rsidP="00E10C89">
      <w:pPr>
        <w:spacing w:before="4" w:after="240" w:line="360" w:lineRule="auto"/>
        <w:jc w:val="both"/>
        <w:rPr>
          <w:rFonts w:ascii="Arial" w:hAnsi="Arial" w:cs="Arial"/>
          <w:b/>
          <w:sz w:val="24"/>
          <w:szCs w:val="24"/>
          <w:lang w:val="es-ES"/>
        </w:rPr>
      </w:pPr>
      <w:bookmarkStart w:id="11" w:name="_GoBack"/>
      <w:bookmarkEnd w:id="11"/>
      <w:r>
        <w:rPr>
          <w:rFonts w:ascii="Arial" w:hAnsi="Arial" w:cs="Arial"/>
          <w:b/>
          <w:sz w:val="24"/>
          <w:szCs w:val="24"/>
          <w:lang w:val="es-ES"/>
        </w:rPr>
        <w:lastRenderedPageBreak/>
        <w:t>5. Bibliografía</w:t>
      </w:r>
    </w:p>
    <w:p w:rsidR="00E10111" w:rsidRPr="00E10111" w:rsidRDefault="00E10111" w:rsidP="00E10111">
      <w:pPr>
        <w:spacing w:before="4" w:after="240" w:line="360" w:lineRule="auto"/>
        <w:jc w:val="both"/>
        <w:rPr>
          <w:rFonts w:ascii="Arial" w:hAnsi="Arial" w:cs="Arial"/>
          <w:sz w:val="24"/>
          <w:szCs w:val="24"/>
        </w:rPr>
      </w:pPr>
      <w:r w:rsidRPr="00E10111">
        <w:rPr>
          <w:rFonts w:ascii="Arial" w:hAnsi="Arial" w:cs="Arial"/>
          <w:sz w:val="24"/>
          <w:szCs w:val="24"/>
        </w:rPr>
        <w:t xml:space="preserve">Abreu Bureli Alirio. </w:t>
      </w:r>
      <w:r w:rsidRPr="00E10111">
        <w:rPr>
          <w:rFonts w:ascii="Arial" w:hAnsi="Arial" w:cs="Arial"/>
          <w:i/>
          <w:iCs/>
          <w:sz w:val="24"/>
          <w:szCs w:val="24"/>
        </w:rPr>
        <w:t xml:space="preserve">Independencia Judicial (jurisprudencia de la Corte Interamericana de Derechos Humanos. </w:t>
      </w:r>
      <w:r w:rsidRPr="00E10111">
        <w:rPr>
          <w:rFonts w:ascii="Arial" w:hAnsi="Arial" w:cs="Arial"/>
          <w:sz w:val="24"/>
          <w:szCs w:val="24"/>
        </w:rPr>
        <w:t xml:space="preserve">En Anuario de Derecho Constitucional Latinoamericano, Tomo II, 2007. Centro por la Justicia y el Derecho Internacional (CEJIL). </w:t>
      </w:r>
      <w:r w:rsidRPr="00E10111">
        <w:rPr>
          <w:rFonts w:ascii="Arial" w:hAnsi="Arial" w:cs="Arial"/>
          <w:i/>
          <w:iCs/>
          <w:sz w:val="24"/>
          <w:szCs w:val="24"/>
        </w:rPr>
        <w:t>Compendio de Estándares Internacionales para la protección de la Independencia Judicial</w:t>
      </w:r>
      <w:r w:rsidRPr="00E10111">
        <w:rPr>
          <w:rFonts w:ascii="Arial" w:hAnsi="Arial" w:cs="Arial"/>
          <w:sz w:val="24"/>
          <w:szCs w:val="24"/>
        </w:rPr>
        <w:t xml:space="preserve">. Primera Edición, San José, 2019. </w:t>
      </w:r>
    </w:p>
    <w:p w:rsidR="00E10111" w:rsidRPr="00E10111" w:rsidRDefault="00E10111" w:rsidP="00E10111">
      <w:pPr>
        <w:spacing w:before="4" w:after="240" w:line="360" w:lineRule="auto"/>
        <w:jc w:val="both"/>
        <w:rPr>
          <w:rFonts w:ascii="Arial" w:hAnsi="Arial" w:cs="Arial"/>
          <w:sz w:val="24"/>
          <w:szCs w:val="24"/>
        </w:rPr>
      </w:pPr>
      <w:r w:rsidRPr="00E10111">
        <w:rPr>
          <w:rFonts w:ascii="Arial" w:hAnsi="Arial" w:cs="Arial"/>
          <w:sz w:val="24"/>
          <w:szCs w:val="24"/>
        </w:rPr>
        <w:t xml:space="preserve">Dal Canto Francesco. </w:t>
      </w:r>
      <w:r w:rsidRPr="00E10111">
        <w:rPr>
          <w:rFonts w:ascii="Arial" w:hAnsi="Arial" w:cs="Arial"/>
          <w:i/>
          <w:sz w:val="24"/>
          <w:szCs w:val="24"/>
        </w:rPr>
        <w:t>Lezioni di ordinamento giudiziario</w:t>
      </w:r>
      <w:r w:rsidRPr="00E10111">
        <w:rPr>
          <w:rFonts w:ascii="Arial" w:hAnsi="Arial" w:cs="Arial"/>
          <w:sz w:val="24"/>
          <w:szCs w:val="24"/>
        </w:rPr>
        <w:t xml:space="preserve">. Ed. Giappichelli, Turín, 2018. </w:t>
      </w:r>
    </w:p>
    <w:p w:rsidR="00E10111" w:rsidRPr="00E10111" w:rsidRDefault="00E10111" w:rsidP="00E10111">
      <w:pPr>
        <w:spacing w:before="4" w:after="240" w:line="360" w:lineRule="auto"/>
        <w:jc w:val="both"/>
        <w:rPr>
          <w:rFonts w:ascii="Arial" w:hAnsi="Arial" w:cs="Arial"/>
          <w:sz w:val="24"/>
          <w:szCs w:val="24"/>
        </w:rPr>
      </w:pPr>
      <w:r w:rsidRPr="00E10111">
        <w:rPr>
          <w:rFonts w:ascii="Arial" w:hAnsi="Arial" w:cs="Arial"/>
          <w:sz w:val="24"/>
          <w:szCs w:val="24"/>
        </w:rPr>
        <w:t xml:space="preserve">Lousada Arochena José Fernando. </w:t>
      </w:r>
      <w:r w:rsidRPr="00E10111">
        <w:rPr>
          <w:rFonts w:ascii="Arial" w:hAnsi="Arial" w:cs="Arial"/>
          <w:i/>
          <w:iCs/>
          <w:sz w:val="24"/>
          <w:szCs w:val="24"/>
        </w:rPr>
        <w:t>La independencia judicial</w:t>
      </w:r>
      <w:r w:rsidRPr="00E10111">
        <w:rPr>
          <w:rFonts w:ascii="Arial" w:hAnsi="Arial" w:cs="Arial"/>
          <w:sz w:val="24"/>
          <w:szCs w:val="24"/>
        </w:rPr>
        <w:t xml:space="preserve">. Ed. Dykinson, España, 2015. </w:t>
      </w:r>
    </w:p>
    <w:p w:rsidR="00E10111" w:rsidRPr="00E10111" w:rsidRDefault="00E10111" w:rsidP="00E10111">
      <w:pPr>
        <w:spacing w:before="4" w:after="240" w:line="360" w:lineRule="auto"/>
        <w:jc w:val="both"/>
        <w:rPr>
          <w:rFonts w:ascii="Arial" w:hAnsi="Arial" w:cs="Arial"/>
          <w:sz w:val="24"/>
          <w:szCs w:val="24"/>
        </w:rPr>
      </w:pPr>
      <w:r w:rsidRPr="00E10111">
        <w:rPr>
          <w:rFonts w:ascii="Arial" w:hAnsi="Arial" w:cs="Arial"/>
          <w:sz w:val="24"/>
          <w:szCs w:val="24"/>
        </w:rPr>
        <w:t xml:space="preserve">Nieto García Alejandro. </w:t>
      </w:r>
      <w:r w:rsidRPr="00E10111">
        <w:rPr>
          <w:rFonts w:ascii="Arial" w:hAnsi="Arial" w:cs="Arial"/>
          <w:i/>
          <w:iCs/>
          <w:sz w:val="24"/>
          <w:szCs w:val="24"/>
        </w:rPr>
        <w:t>La “nueva” organización del desgobierno</w:t>
      </w:r>
      <w:r w:rsidRPr="00E10111">
        <w:rPr>
          <w:rFonts w:ascii="Arial" w:hAnsi="Arial" w:cs="Arial"/>
          <w:sz w:val="24"/>
          <w:szCs w:val="24"/>
        </w:rPr>
        <w:t>. Ed. Ariel, España,1997.</w:t>
      </w:r>
    </w:p>
    <w:p w:rsidR="00E10111" w:rsidRPr="00E10111" w:rsidRDefault="00E10111" w:rsidP="00E10111">
      <w:pPr>
        <w:spacing w:before="4" w:after="240" w:line="360" w:lineRule="auto"/>
        <w:jc w:val="both"/>
        <w:rPr>
          <w:rFonts w:ascii="Arial" w:hAnsi="Arial" w:cs="Arial"/>
          <w:sz w:val="24"/>
          <w:szCs w:val="24"/>
        </w:rPr>
      </w:pPr>
      <w:r w:rsidRPr="00E10111">
        <w:rPr>
          <w:rFonts w:ascii="Arial" w:hAnsi="Arial" w:cs="Arial"/>
          <w:sz w:val="24"/>
          <w:szCs w:val="24"/>
        </w:rPr>
        <w:t xml:space="preserve">Nieto García Alejandro. </w:t>
      </w:r>
      <w:r w:rsidRPr="00E10111">
        <w:rPr>
          <w:rFonts w:ascii="Arial" w:hAnsi="Arial" w:cs="Arial"/>
          <w:i/>
          <w:iCs/>
          <w:sz w:val="24"/>
          <w:szCs w:val="24"/>
        </w:rPr>
        <w:t>El malestar de los jueces y el modelo judicial</w:t>
      </w:r>
      <w:r w:rsidRPr="00E10111">
        <w:rPr>
          <w:rFonts w:ascii="Arial" w:hAnsi="Arial" w:cs="Arial"/>
          <w:sz w:val="24"/>
          <w:szCs w:val="24"/>
        </w:rPr>
        <w:t xml:space="preserve">. Ed. Trotta, España, 2010. </w:t>
      </w:r>
    </w:p>
    <w:p w:rsidR="00E10111" w:rsidRPr="00E10111" w:rsidRDefault="00E10111" w:rsidP="00E10111">
      <w:pPr>
        <w:spacing w:before="4" w:after="240" w:line="360" w:lineRule="auto"/>
        <w:jc w:val="both"/>
        <w:rPr>
          <w:rFonts w:ascii="Arial" w:hAnsi="Arial" w:cs="Arial"/>
          <w:sz w:val="24"/>
          <w:szCs w:val="24"/>
        </w:rPr>
      </w:pPr>
      <w:r w:rsidRPr="00E10111">
        <w:rPr>
          <w:rFonts w:ascii="Arial" w:hAnsi="Arial" w:cs="Arial"/>
          <w:sz w:val="24"/>
          <w:szCs w:val="24"/>
        </w:rPr>
        <w:t xml:space="preserve">Parra Vera Oscar. </w:t>
      </w:r>
      <w:r w:rsidRPr="00E10111">
        <w:rPr>
          <w:rFonts w:ascii="Arial" w:hAnsi="Arial" w:cs="Arial"/>
          <w:i/>
          <w:iCs/>
          <w:sz w:val="24"/>
          <w:szCs w:val="24"/>
        </w:rPr>
        <w:t>La Independencia Judicial en la Jurisprudencia de la Corte Interamericana de Derechos Humanos</w:t>
      </w:r>
      <w:r w:rsidRPr="00E10111">
        <w:rPr>
          <w:rFonts w:ascii="Arial" w:hAnsi="Arial" w:cs="Arial"/>
          <w:sz w:val="24"/>
          <w:szCs w:val="24"/>
        </w:rPr>
        <w:t xml:space="preserve">, p. 485-530. En SAIZ ARNAIZ Alejandro (Director), SOLANES MULLOR Joan y Roa Roa Jorge Ernesto (coords.) </w:t>
      </w:r>
      <w:r w:rsidRPr="00E10111">
        <w:rPr>
          <w:rFonts w:ascii="Arial" w:hAnsi="Arial" w:cs="Arial"/>
          <w:i/>
          <w:iCs/>
          <w:sz w:val="24"/>
          <w:szCs w:val="24"/>
        </w:rPr>
        <w:t>Diálogos Judiciales en el Sistema Interamericano de Derechos Humanos</w:t>
      </w:r>
      <w:r w:rsidRPr="00E10111">
        <w:rPr>
          <w:rFonts w:ascii="Arial" w:hAnsi="Arial" w:cs="Arial"/>
          <w:sz w:val="24"/>
          <w:szCs w:val="24"/>
        </w:rPr>
        <w:t>. Ed. Tirant Lo Blanch, Valencia, 2017.</w:t>
      </w:r>
    </w:p>
    <w:p w:rsidR="00E10111" w:rsidRPr="00E10111" w:rsidRDefault="00E10111" w:rsidP="00E10111">
      <w:pPr>
        <w:spacing w:before="4" w:after="240" w:line="360" w:lineRule="auto"/>
        <w:jc w:val="both"/>
        <w:rPr>
          <w:rFonts w:ascii="Arial" w:hAnsi="Arial" w:cs="Arial"/>
          <w:sz w:val="24"/>
          <w:szCs w:val="24"/>
        </w:rPr>
      </w:pPr>
      <w:r w:rsidRPr="00E10111">
        <w:rPr>
          <w:rFonts w:ascii="Arial" w:hAnsi="Arial" w:cs="Arial"/>
          <w:sz w:val="24"/>
          <w:szCs w:val="24"/>
        </w:rPr>
        <w:t>Perfecto Andrés Ibañez.</w:t>
      </w:r>
      <w:r w:rsidRPr="00E10111">
        <w:rPr>
          <w:rFonts w:ascii="Arial" w:hAnsi="Arial" w:cs="Arial"/>
          <w:i/>
          <w:iCs/>
          <w:sz w:val="24"/>
          <w:szCs w:val="24"/>
        </w:rPr>
        <w:t xml:space="preserve"> Tercero en discordia. Jurisdicción y juez del estado constitucional. </w:t>
      </w:r>
      <w:r w:rsidRPr="00E10111">
        <w:rPr>
          <w:rFonts w:ascii="Arial" w:hAnsi="Arial" w:cs="Arial"/>
          <w:sz w:val="24"/>
          <w:szCs w:val="24"/>
        </w:rPr>
        <w:t xml:space="preserve">Ed. Trotta Madrid, 2015. </w:t>
      </w:r>
    </w:p>
    <w:p w:rsidR="00E10111" w:rsidRPr="00E10111" w:rsidRDefault="00E10111" w:rsidP="00E10111">
      <w:pPr>
        <w:spacing w:before="4" w:after="240" w:line="360" w:lineRule="auto"/>
        <w:jc w:val="both"/>
        <w:rPr>
          <w:rFonts w:ascii="Arial" w:hAnsi="Arial" w:cs="Arial"/>
          <w:sz w:val="24"/>
          <w:szCs w:val="24"/>
        </w:rPr>
      </w:pPr>
      <w:r w:rsidRPr="00E10111">
        <w:rPr>
          <w:rFonts w:ascii="Arial" w:hAnsi="Arial" w:cs="Arial"/>
          <w:sz w:val="24"/>
          <w:szCs w:val="24"/>
        </w:rPr>
        <w:t>Romboli Roberto.</w:t>
      </w:r>
      <w:r w:rsidRPr="00E10111">
        <w:rPr>
          <w:rFonts w:ascii="Arial" w:hAnsi="Arial" w:cs="Arial"/>
          <w:i/>
          <w:sz w:val="24"/>
          <w:szCs w:val="24"/>
        </w:rPr>
        <w:t xml:space="preserve"> La Magistratura</w:t>
      </w:r>
      <w:r w:rsidRPr="00E10111">
        <w:rPr>
          <w:rFonts w:ascii="Arial" w:hAnsi="Arial" w:cs="Arial"/>
          <w:sz w:val="24"/>
          <w:szCs w:val="24"/>
        </w:rPr>
        <w:t xml:space="preserve">, p. 229. En ROMBOLI R. (a cura di). </w:t>
      </w:r>
      <w:r w:rsidRPr="00E10111">
        <w:rPr>
          <w:rFonts w:ascii="Arial" w:hAnsi="Arial" w:cs="Arial"/>
          <w:i/>
          <w:iCs/>
          <w:sz w:val="24"/>
          <w:szCs w:val="24"/>
        </w:rPr>
        <w:t>Manuale di diritto costituzionale italiano ed europeo</w:t>
      </w:r>
      <w:r w:rsidRPr="00E10111">
        <w:rPr>
          <w:rFonts w:ascii="Arial" w:hAnsi="Arial" w:cs="Arial"/>
          <w:sz w:val="24"/>
          <w:szCs w:val="24"/>
        </w:rPr>
        <w:t xml:space="preserve">. Ed Giappichelli, Turín, Tomo III, 2009. </w:t>
      </w:r>
    </w:p>
    <w:p w:rsidR="00E10111" w:rsidRPr="00E10111" w:rsidRDefault="00E10111" w:rsidP="00E10111">
      <w:pPr>
        <w:spacing w:before="4" w:after="240" w:line="360" w:lineRule="auto"/>
        <w:jc w:val="both"/>
        <w:rPr>
          <w:rFonts w:ascii="Arial" w:hAnsi="Arial" w:cs="Arial"/>
          <w:b/>
          <w:bCs/>
          <w:sz w:val="24"/>
          <w:szCs w:val="24"/>
        </w:rPr>
      </w:pPr>
      <w:r w:rsidRPr="00E10111">
        <w:rPr>
          <w:rFonts w:ascii="Arial" w:hAnsi="Arial" w:cs="Arial"/>
          <w:sz w:val="24"/>
          <w:szCs w:val="24"/>
        </w:rPr>
        <w:t xml:space="preserve">Pizzorusso Alessandro. </w:t>
      </w:r>
      <w:r w:rsidRPr="00E10111">
        <w:rPr>
          <w:rFonts w:ascii="Arial" w:hAnsi="Arial" w:cs="Arial"/>
          <w:i/>
          <w:sz w:val="24"/>
          <w:szCs w:val="24"/>
        </w:rPr>
        <w:t xml:space="preserve">L’organizzazione della giustizia in Italia. La magistratura nel sistema político e istituzionale. </w:t>
      </w:r>
      <w:r w:rsidRPr="00E10111">
        <w:rPr>
          <w:rFonts w:ascii="Arial" w:hAnsi="Arial" w:cs="Arial"/>
          <w:sz w:val="24"/>
          <w:szCs w:val="24"/>
        </w:rPr>
        <w:t>Ed. Einaudi, Torino, 1990.</w:t>
      </w:r>
    </w:p>
    <w:p w:rsidR="00E10111" w:rsidRPr="00E10111" w:rsidRDefault="00E10111" w:rsidP="00E10111">
      <w:pPr>
        <w:spacing w:before="4" w:after="240" w:line="360" w:lineRule="auto"/>
        <w:jc w:val="both"/>
        <w:rPr>
          <w:rFonts w:ascii="Arial" w:hAnsi="Arial" w:cs="Arial"/>
          <w:b/>
          <w:bCs/>
          <w:sz w:val="24"/>
          <w:szCs w:val="24"/>
        </w:rPr>
      </w:pPr>
      <w:r w:rsidRPr="00E10111">
        <w:rPr>
          <w:rFonts w:ascii="Arial" w:hAnsi="Arial" w:cs="Arial"/>
          <w:b/>
          <w:bCs/>
          <w:sz w:val="24"/>
          <w:szCs w:val="24"/>
        </w:rPr>
        <w:lastRenderedPageBreak/>
        <w:t>Corte Interamericana de Derechos Humanos</w:t>
      </w:r>
    </w:p>
    <w:p w:rsidR="00E10111" w:rsidRPr="00E10111" w:rsidRDefault="00E10111" w:rsidP="00E10111">
      <w:pPr>
        <w:spacing w:before="4" w:after="240" w:line="360" w:lineRule="auto"/>
        <w:jc w:val="both"/>
        <w:rPr>
          <w:rFonts w:ascii="Arial" w:hAnsi="Arial" w:cs="Arial"/>
          <w:sz w:val="24"/>
          <w:szCs w:val="24"/>
        </w:rPr>
      </w:pPr>
      <w:r w:rsidRPr="00E10111">
        <w:rPr>
          <w:rFonts w:ascii="Arial" w:hAnsi="Arial" w:cs="Arial"/>
          <w:sz w:val="24"/>
          <w:szCs w:val="24"/>
        </w:rPr>
        <w:t>Caso del Tribunal Constitucional vs. Perú. Fondo, Reparaciones y Costas.  Sentencia de 31 de enero de 2001 Serie C No. 71.</w:t>
      </w:r>
    </w:p>
    <w:p w:rsidR="00E10111" w:rsidRPr="00E10111" w:rsidRDefault="00E10111" w:rsidP="00E10111">
      <w:pPr>
        <w:spacing w:before="4" w:after="240" w:line="360" w:lineRule="auto"/>
        <w:jc w:val="both"/>
        <w:rPr>
          <w:rFonts w:ascii="Arial" w:hAnsi="Arial" w:cs="Arial"/>
          <w:iCs/>
          <w:sz w:val="24"/>
          <w:szCs w:val="24"/>
        </w:rPr>
      </w:pPr>
      <w:r w:rsidRPr="00E10111">
        <w:rPr>
          <w:rFonts w:ascii="Arial" w:hAnsi="Arial" w:cs="Arial"/>
          <w:sz w:val="24"/>
          <w:szCs w:val="24"/>
        </w:rPr>
        <w:t>Caso Apitz Barbera y otros (“Corte Primera de lo Contencioso Administrativo”) vs. Venezuela. Excepción Preliminar, Fondo, Reparaciones y Costas. Sentencia de 5 de agosto de 2008. Serie C No. 182.</w:t>
      </w:r>
    </w:p>
    <w:p w:rsidR="00E10111" w:rsidRPr="00E10111" w:rsidRDefault="00E10111" w:rsidP="00E10111">
      <w:pPr>
        <w:spacing w:before="4" w:after="240" w:line="360" w:lineRule="auto"/>
        <w:jc w:val="both"/>
        <w:rPr>
          <w:rFonts w:ascii="Arial" w:hAnsi="Arial" w:cs="Arial"/>
          <w:sz w:val="24"/>
          <w:szCs w:val="24"/>
        </w:rPr>
      </w:pPr>
      <w:r w:rsidRPr="00E10111">
        <w:rPr>
          <w:rFonts w:ascii="Arial" w:hAnsi="Arial" w:cs="Arial"/>
          <w:sz w:val="24"/>
          <w:szCs w:val="24"/>
        </w:rPr>
        <w:t>Caso Reverón Trujillo vs. Venezuela. Excepción Preliminar, Fondo Reparaciones. Sentencia de 30 de junio de 2009, Serie C No. 197.</w:t>
      </w:r>
    </w:p>
    <w:p w:rsidR="00E10111" w:rsidRPr="00E10111" w:rsidRDefault="00E10111" w:rsidP="00E10111">
      <w:pPr>
        <w:spacing w:before="4" w:after="240" w:line="360" w:lineRule="auto"/>
        <w:jc w:val="both"/>
        <w:rPr>
          <w:rFonts w:ascii="Arial" w:hAnsi="Arial" w:cs="Arial"/>
          <w:sz w:val="24"/>
          <w:szCs w:val="24"/>
        </w:rPr>
      </w:pPr>
      <w:r w:rsidRPr="00E10111">
        <w:rPr>
          <w:rFonts w:ascii="Arial" w:hAnsi="Arial" w:cs="Arial"/>
          <w:sz w:val="24"/>
          <w:szCs w:val="24"/>
        </w:rPr>
        <w:t>Caso de la Corte Suprema de Justicia (Quintana Coello y otros) vs. Ecuador. Excepción Preliminar, Fondo, Reparaciones y Costas. Sentencia de 23 de agosto de 2013. Serie C No. 266.</w:t>
      </w:r>
    </w:p>
    <w:p w:rsidR="00E10111" w:rsidRPr="00E10111" w:rsidRDefault="00E10111" w:rsidP="00E10111">
      <w:pPr>
        <w:spacing w:before="4" w:after="240" w:line="360" w:lineRule="auto"/>
        <w:jc w:val="both"/>
        <w:rPr>
          <w:rFonts w:ascii="Arial" w:hAnsi="Arial" w:cs="Arial"/>
          <w:sz w:val="24"/>
          <w:szCs w:val="24"/>
        </w:rPr>
      </w:pPr>
      <w:r w:rsidRPr="00E10111">
        <w:rPr>
          <w:rFonts w:ascii="Arial" w:hAnsi="Arial" w:cs="Arial"/>
          <w:sz w:val="24"/>
          <w:szCs w:val="24"/>
        </w:rPr>
        <w:t>Caso López Lone y otros Vs. Honduras. Interpretación de la Sentencia de Excepción Preliminar, Fondo, Reparaciones y Costas. Sentencia de 2 de septiembre de 2016. Serie C No. 317.</w:t>
      </w:r>
    </w:p>
    <w:p w:rsidR="00E10111" w:rsidRPr="00E10111" w:rsidRDefault="00E10111" w:rsidP="00E10111">
      <w:pPr>
        <w:spacing w:before="4" w:after="240" w:line="360" w:lineRule="auto"/>
        <w:jc w:val="both"/>
        <w:rPr>
          <w:rFonts w:ascii="Arial" w:hAnsi="Arial" w:cs="Arial"/>
          <w:sz w:val="24"/>
          <w:szCs w:val="24"/>
        </w:rPr>
      </w:pPr>
      <w:r w:rsidRPr="00E10111">
        <w:rPr>
          <w:rFonts w:ascii="Arial" w:hAnsi="Arial" w:cs="Arial"/>
          <w:sz w:val="24"/>
          <w:szCs w:val="24"/>
        </w:rPr>
        <w:t>Caso Colindres Schonenberg vs. El Salvador. Fondo, Reparaciones y Costas. Sentencia de 4 de febrero de 2019. Serie C No. 373.</w:t>
      </w:r>
    </w:p>
    <w:p w:rsidR="00E10111" w:rsidRPr="00E10111" w:rsidRDefault="00E10111" w:rsidP="00E10C89">
      <w:pPr>
        <w:spacing w:before="4" w:after="240" w:line="360" w:lineRule="auto"/>
        <w:jc w:val="both"/>
        <w:rPr>
          <w:rFonts w:ascii="Arial" w:hAnsi="Arial" w:cs="Arial"/>
          <w:sz w:val="24"/>
          <w:szCs w:val="24"/>
        </w:rPr>
      </w:pPr>
      <w:r w:rsidRPr="00E10111">
        <w:rPr>
          <w:rFonts w:ascii="Arial" w:hAnsi="Arial" w:cs="Arial"/>
          <w:sz w:val="24"/>
          <w:szCs w:val="24"/>
        </w:rPr>
        <w:t>Caso Villaseñor Velarde y otros vs. Guatemala. Fondo, Reparaciones y Costas. Sentencia de 5 de febrero de 2019. Serie C No. 374.</w:t>
      </w:r>
    </w:p>
    <w:sectPr w:rsidR="00E10111" w:rsidRPr="00E10111" w:rsidSect="00E10C89">
      <w:headerReference w:type="even" r:id="rId8"/>
      <w:headerReference w:type="default" r:id="rId9"/>
      <w:footerReference w:type="even" r:id="rId10"/>
      <w:footerReference w:type="default" r:id="rId11"/>
      <w:headerReference w:type="first" r:id="rId12"/>
      <w:footerReference w:type="first" r:id="rId13"/>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08F5" w:rsidRDefault="009B08F5" w:rsidP="00F659B4">
      <w:r>
        <w:separator/>
      </w:r>
    </w:p>
  </w:endnote>
  <w:endnote w:type="continuationSeparator" w:id="0">
    <w:p w:rsidR="009B08F5" w:rsidRDefault="009B08F5" w:rsidP="00F65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Zapfino">
    <w:panose1 w:val="03030300040707070C03"/>
    <w:charset w:val="4D"/>
    <w:family w:val="script"/>
    <w:pitch w:val="variable"/>
    <w:sig w:usb0="80000067" w:usb1="4000004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merican Typewriter">
    <w:panose1 w:val="02090604020004020304"/>
    <w:charset w:val="4D"/>
    <w:family w:val="roman"/>
    <w:pitch w:val="variable"/>
    <w:sig w:usb0="A000006F" w:usb1="00000019" w:usb2="00000000" w:usb3="00000000" w:csb0="0000011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090" w:rsidRDefault="00A550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090" w:rsidRPr="009D715E" w:rsidRDefault="009B08F5" w:rsidP="00A55090">
    <w:pPr>
      <w:tabs>
        <w:tab w:val="center" w:pos="4252"/>
        <w:tab w:val="left" w:pos="7513"/>
        <w:tab w:val="left" w:pos="7655"/>
      </w:tabs>
      <w:spacing w:before="120" w:line="360" w:lineRule="auto"/>
      <w:ind w:right="6"/>
      <w:jc w:val="center"/>
      <w:rPr>
        <w:rFonts w:ascii="Century Gothic" w:eastAsia="MS Mincho" w:hAnsi="Century Gothic"/>
        <w:sz w:val="18"/>
        <w:szCs w:val="20"/>
        <w:lang w:eastAsia="ja-JP"/>
      </w:rPr>
    </w:pPr>
    <w:hyperlink r:id="rId1" w:history="1">
      <w:r w:rsidR="00A55090">
        <w:rPr>
          <w:rStyle w:val="Hyperlink"/>
          <w:rFonts w:ascii="Century Gothic" w:hAnsi="Century Gothic" w:cs="Arial"/>
          <w:sz w:val="18"/>
          <w:szCs w:val="20"/>
        </w:rPr>
        <w:t>Licencia C</w:t>
      </w:r>
      <w:r w:rsidR="00A55090" w:rsidRPr="009D715E">
        <w:rPr>
          <w:rStyle w:val="Hyperlink"/>
          <w:rFonts w:ascii="Century Gothic" w:hAnsi="Century Gothic" w:cs="Arial"/>
          <w:sz w:val="18"/>
          <w:szCs w:val="20"/>
        </w:rPr>
        <w:t>reative Commons Atribución-NoComercial-SinDerivar 4.0 Internacional</w:t>
      </w:r>
    </w:hyperlink>
    <w:r w:rsidR="00A55090" w:rsidRPr="009D715E">
      <w:rPr>
        <w:rFonts w:ascii="Century Gothic" w:hAnsi="Century Gothic" w:cs="Arial"/>
        <w:sz w:val="18"/>
        <w:szCs w:val="20"/>
      </w:rPr>
      <w:t>.</w:t>
    </w:r>
  </w:p>
  <w:p w:rsidR="00A55090" w:rsidRDefault="00A55090" w:rsidP="00A55090">
    <w:pPr>
      <w:pStyle w:val="Footer"/>
      <w:jc w:val="center"/>
    </w:pPr>
    <w:r w:rsidRPr="009D715E">
      <w:rPr>
        <w:rFonts w:ascii="Century Gothic" w:hAnsi="Century Gothic" w:cs="Arial"/>
        <w:noProof/>
        <w:sz w:val="20"/>
        <w:szCs w:val="20"/>
      </w:rPr>
      <w:drawing>
        <wp:inline distT="0" distB="0" distL="0" distR="0" wp14:anchorId="65790929" wp14:editId="6F61642D">
          <wp:extent cx="680486" cy="233917"/>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y-nc-nd.png"/>
                  <pic:cNvPicPr/>
                </pic:nvPicPr>
                <pic:blipFill>
                  <a:blip r:embed="rId2">
                    <a:extLst>
                      <a:ext uri="{28A0092B-C50C-407E-A947-70E740481C1C}">
                        <a14:useLocalDpi xmlns:a14="http://schemas.microsoft.com/office/drawing/2010/main" val="0"/>
                      </a:ext>
                    </a:extLst>
                  </a:blip>
                  <a:stretch>
                    <a:fillRect/>
                  </a:stretch>
                </pic:blipFill>
                <pic:spPr>
                  <a:xfrm>
                    <a:off x="0" y="0"/>
                    <a:ext cx="730349" cy="251057"/>
                  </a:xfrm>
                  <a:prstGeom prst="rect">
                    <a:avLst/>
                  </a:prstGeom>
                </pic:spPr>
              </pic:pic>
            </a:graphicData>
          </a:graphic>
        </wp:inline>
      </w:drawing>
    </w:r>
  </w:p>
  <w:sdt>
    <w:sdtPr>
      <w:rPr>
        <w:rFonts w:eastAsia="Calibri" w:cs="Times New Roman"/>
      </w:rPr>
      <w:id w:val="-1101028807"/>
      <w:docPartObj>
        <w:docPartGallery w:val="Page Numbers (Bottom of Page)"/>
        <w:docPartUnique/>
      </w:docPartObj>
    </w:sdtPr>
    <w:sdtEndPr/>
    <w:sdtContent>
      <w:p w:rsidR="00A55090" w:rsidRPr="00A55090" w:rsidRDefault="00A55090" w:rsidP="00A55090">
        <w:pPr>
          <w:tabs>
            <w:tab w:val="center" w:pos="4680"/>
            <w:tab w:val="right" w:pos="9360"/>
          </w:tabs>
          <w:spacing w:after="200" w:line="276" w:lineRule="auto"/>
          <w:jc w:val="right"/>
          <w:rPr>
            <w:rFonts w:eastAsia="Calibri" w:cs="Times New Roman"/>
          </w:rPr>
        </w:pPr>
        <w:r w:rsidRPr="003948B3">
          <w:rPr>
            <w:rFonts w:eastAsia="Calibri" w:cs="Times New Roman"/>
          </w:rPr>
          <w:fldChar w:fldCharType="begin"/>
        </w:r>
        <w:r w:rsidRPr="003948B3">
          <w:rPr>
            <w:rFonts w:eastAsia="Calibri" w:cs="Times New Roman"/>
          </w:rPr>
          <w:instrText xml:space="preserve"> PAGE </w:instrText>
        </w:r>
        <w:r w:rsidRPr="003948B3">
          <w:rPr>
            <w:rFonts w:eastAsia="Calibri" w:cs="Times New Roman"/>
          </w:rPr>
          <w:fldChar w:fldCharType="separate"/>
        </w:r>
        <w:r w:rsidR="00490D86">
          <w:rPr>
            <w:rFonts w:eastAsia="Calibri" w:cs="Times New Roman"/>
            <w:noProof/>
          </w:rPr>
          <w:t>26</w:t>
        </w:r>
        <w:r w:rsidRPr="003948B3">
          <w:rPr>
            <w:rFonts w:eastAsia="Calibri"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090" w:rsidRDefault="00A55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08F5" w:rsidRDefault="009B08F5" w:rsidP="00F659B4">
      <w:r>
        <w:separator/>
      </w:r>
    </w:p>
  </w:footnote>
  <w:footnote w:type="continuationSeparator" w:id="0">
    <w:p w:rsidR="009B08F5" w:rsidRDefault="009B08F5" w:rsidP="00F659B4">
      <w:r>
        <w:continuationSeparator/>
      </w:r>
    </w:p>
  </w:footnote>
  <w:footnote w:id="1">
    <w:p w:rsidR="00E10C89" w:rsidRDefault="00E10C89" w:rsidP="00E10C89">
      <w:pPr>
        <w:pStyle w:val="FootnoteText"/>
      </w:pPr>
      <w:r>
        <w:rPr>
          <w:rStyle w:val="FootnoteReference"/>
        </w:rPr>
        <w:footnoteRef/>
      </w:r>
      <w:r>
        <w:t xml:space="preserve"> </w:t>
      </w:r>
      <w:r w:rsidRPr="00AC7124">
        <w:rPr>
          <w:rFonts w:ascii="Times New Roman" w:hAnsi="Times New Roman" w:cs="Times New Roman"/>
          <w:sz w:val="20"/>
          <w:szCs w:val="20"/>
        </w:rPr>
        <w:t xml:space="preserve">Presidente del Poder Judicial de Costa Rica. </w:t>
      </w:r>
      <w:r>
        <w:rPr>
          <w:rFonts w:ascii="Times New Roman" w:hAnsi="Times New Roman" w:cs="Times New Roman"/>
          <w:sz w:val="20"/>
          <w:szCs w:val="20"/>
        </w:rPr>
        <w:t>Magistrado de la Sala Constitucional. Doctor en Derecho Penal por la Universidad Complutense de Madrid.</w:t>
      </w:r>
    </w:p>
  </w:footnote>
  <w:footnote w:id="2">
    <w:p w:rsidR="00E23EFF" w:rsidRDefault="00E23EFF">
      <w:pPr>
        <w:pStyle w:val="FootnoteText"/>
      </w:pPr>
      <w:r w:rsidRPr="00AC7124">
        <w:rPr>
          <w:rStyle w:val="FootnoteReference"/>
          <w:rFonts w:ascii="Times New Roman" w:hAnsi="Times New Roman" w:cs="Times New Roman"/>
          <w:sz w:val="20"/>
          <w:szCs w:val="20"/>
        </w:rPr>
        <w:footnoteRef/>
      </w:r>
      <w:r w:rsidRPr="00AC7124">
        <w:rPr>
          <w:rFonts w:ascii="Times New Roman" w:hAnsi="Times New Roman" w:cs="Times New Roman"/>
          <w:sz w:val="20"/>
          <w:szCs w:val="20"/>
        </w:rPr>
        <w:t xml:space="preserve"> </w:t>
      </w:r>
      <w:r w:rsidR="005457AB" w:rsidRPr="00AC7124">
        <w:rPr>
          <w:rFonts w:ascii="Times New Roman" w:hAnsi="Times New Roman" w:cs="Times New Roman"/>
          <w:sz w:val="20"/>
          <w:szCs w:val="20"/>
        </w:rPr>
        <w:t>NIETO</w:t>
      </w:r>
      <w:r w:rsidR="005457AB">
        <w:rPr>
          <w:rFonts w:ascii="Times New Roman" w:hAnsi="Times New Roman" w:cs="Times New Roman"/>
          <w:sz w:val="20"/>
          <w:szCs w:val="20"/>
        </w:rPr>
        <w:t xml:space="preserve"> GARCÍA</w:t>
      </w:r>
      <w:r w:rsidRPr="00AC7124">
        <w:rPr>
          <w:rFonts w:ascii="Times New Roman" w:hAnsi="Times New Roman" w:cs="Times New Roman"/>
          <w:sz w:val="20"/>
          <w:szCs w:val="20"/>
        </w:rPr>
        <w:t xml:space="preserve"> Alejandro. </w:t>
      </w:r>
      <w:r w:rsidRPr="00AC7124">
        <w:rPr>
          <w:rFonts w:ascii="Times New Roman" w:hAnsi="Times New Roman" w:cs="Times New Roman"/>
          <w:i/>
          <w:iCs/>
          <w:sz w:val="20"/>
          <w:szCs w:val="20"/>
        </w:rPr>
        <w:t>La “nueva” organización del desgobierno</w:t>
      </w:r>
      <w:r w:rsidR="00004D6A">
        <w:rPr>
          <w:rFonts w:ascii="Times New Roman" w:hAnsi="Times New Roman" w:cs="Times New Roman"/>
          <w:sz w:val="20"/>
          <w:szCs w:val="20"/>
        </w:rPr>
        <w:t xml:space="preserve">. </w:t>
      </w:r>
      <w:r w:rsidR="005457AB">
        <w:rPr>
          <w:rFonts w:ascii="Times New Roman" w:hAnsi="Times New Roman" w:cs="Times New Roman"/>
          <w:sz w:val="20"/>
          <w:szCs w:val="20"/>
        </w:rPr>
        <w:t xml:space="preserve">Ed. </w:t>
      </w:r>
      <w:r w:rsidRPr="00AC7124">
        <w:rPr>
          <w:rFonts w:ascii="Times New Roman" w:hAnsi="Times New Roman" w:cs="Times New Roman"/>
          <w:sz w:val="20"/>
          <w:szCs w:val="20"/>
        </w:rPr>
        <w:t>Ariel</w:t>
      </w:r>
      <w:r w:rsidR="005457AB">
        <w:rPr>
          <w:rFonts w:ascii="Times New Roman" w:hAnsi="Times New Roman" w:cs="Times New Roman"/>
          <w:sz w:val="20"/>
          <w:szCs w:val="20"/>
        </w:rPr>
        <w:t>,</w:t>
      </w:r>
      <w:r w:rsidRPr="00AC7124">
        <w:rPr>
          <w:rFonts w:ascii="Times New Roman" w:hAnsi="Times New Roman" w:cs="Times New Roman"/>
          <w:sz w:val="20"/>
          <w:szCs w:val="20"/>
        </w:rPr>
        <w:t xml:space="preserve"> España</w:t>
      </w:r>
      <w:r w:rsidR="005457AB">
        <w:rPr>
          <w:rFonts w:ascii="Times New Roman" w:hAnsi="Times New Roman" w:cs="Times New Roman"/>
          <w:sz w:val="20"/>
          <w:szCs w:val="20"/>
        </w:rPr>
        <w:t>,</w:t>
      </w:r>
      <w:r w:rsidRPr="00AC7124">
        <w:rPr>
          <w:rFonts w:ascii="Times New Roman" w:hAnsi="Times New Roman" w:cs="Times New Roman"/>
          <w:sz w:val="20"/>
          <w:szCs w:val="20"/>
        </w:rPr>
        <w:t>1997</w:t>
      </w:r>
      <w:r w:rsidR="00004D6A">
        <w:rPr>
          <w:rFonts w:ascii="Times New Roman" w:hAnsi="Times New Roman" w:cs="Times New Roman"/>
          <w:sz w:val="20"/>
          <w:szCs w:val="20"/>
        </w:rPr>
        <w:t xml:space="preserve">, </w:t>
      </w:r>
      <w:r w:rsidRPr="00AC7124">
        <w:rPr>
          <w:rFonts w:ascii="Times New Roman" w:hAnsi="Times New Roman" w:cs="Times New Roman"/>
          <w:sz w:val="20"/>
          <w:szCs w:val="20"/>
        </w:rPr>
        <w:t>p.21.</w:t>
      </w:r>
    </w:p>
  </w:footnote>
  <w:footnote w:id="3">
    <w:p w:rsidR="00E23EFF" w:rsidRPr="005457AB" w:rsidRDefault="00E23EFF">
      <w:pPr>
        <w:pStyle w:val="FootnoteText"/>
        <w:rPr>
          <w:rFonts w:ascii="Times New Roman" w:hAnsi="Times New Roman" w:cs="Times New Roman"/>
          <w:sz w:val="20"/>
          <w:szCs w:val="20"/>
        </w:rPr>
      </w:pPr>
      <w:r w:rsidRPr="005457AB">
        <w:rPr>
          <w:rStyle w:val="FootnoteReference"/>
          <w:rFonts w:ascii="Times New Roman" w:hAnsi="Times New Roman" w:cs="Times New Roman"/>
          <w:sz w:val="20"/>
          <w:szCs w:val="20"/>
        </w:rPr>
        <w:footnoteRef/>
      </w:r>
      <w:r w:rsidR="005457AB" w:rsidRPr="005457AB">
        <w:rPr>
          <w:rFonts w:ascii="Times New Roman" w:hAnsi="Times New Roman" w:cs="Times New Roman"/>
          <w:sz w:val="20"/>
          <w:szCs w:val="20"/>
        </w:rPr>
        <w:t xml:space="preserve"> NIETO GARCÍA </w:t>
      </w:r>
      <w:r w:rsidRPr="005457AB">
        <w:rPr>
          <w:rFonts w:ascii="Times New Roman" w:hAnsi="Times New Roman" w:cs="Times New Roman"/>
          <w:sz w:val="20"/>
          <w:szCs w:val="20"/>
        </w:rPr>
        <w:t>Alejandro</w:t>
      </w:r>
      <w:r w:rsidR="00311CB4" w:rsidRPr="005457AB">
        <w:rPr>
          <w:rFonts w:ascii="Times New Roman" w:hAnsi="Times New Roman" w:cs="Times New Roman"/>
          <w:sz w:val="20"/>
          <w:szCs w:val="20"/>
        </w:rPr>
        <w:t xml:space="preserve">. </w:t>
      </w:r>
      <w:r w:rsidR="00311CB4" w:rsidRPr="005457AB">
        <w:rPr>
          <w:rFonts w:ascii="Times New Roman" w:hAnsi="Times New Roman" w:cs="Times New Roman"/>
          <w:i/>
          <w:iCs/>
          <w:sz w:val="20"/>
          <w:szCs w:val="20"/>
        </w:rPr>
        <w:t>La “nueva” organización del desgobierno</w:t>
      </w:r>
      <w:r w:rsidRPr="005457AB">
        <w:rPr>
          <w:rFonts w:ascii="Times New Roman" w:hAnsi="Times New Roman" w:cs="Times New Roman"/>
          <w:sz w:val="20"/>
          <w:szCs w:val="20"/>
        </w:rPr>
        <w:t xml:space="preserve"> </w:t>
      </w:r>
      <w:r w:rsidR="00023318" w:rsidRPr="005457AB">
        <w:rPr>
          <w:rFonts w:ascii="Times New Roman" w:hAnsi="Times New Roman" w:cs="Times New Roman"/>
          <w:sz w:val="20"/>
          <w:szCs w:val="20"/>
        </w:rPr>
        <w:t>op. cit</w:t>
      </w:r>
      <w:r w:rsidRPr="005457AB">
        <w:rPr>
          <w:rFonts w:ascii="Times New Roman" w:hAnsi="Times New Roman" w:cs="Times New Roman"/>
          <w:sz w:val="20"/>
          <w:szCs w:val="20"/>
        </w:rPr>
        <w:t>. p. 21.</w:t>
      </w:r>
    </w:p>
  </w:footnote>
  <w:footnote w:id="4">
    <w:p w:rsidR="005457AB" w:rsidRDefault="005457AB" w:rsidP="005457AB">
      <w:pPr>
        <w:pStyle w:val="FootnoteText"/>
        <w:jc w:val="both"/>
      </w:pPr>
      <w:r w:rsidRPr="005457AB">
        <w:rPr>
          <w:rStyle w:val="FootnoteReference"/>
          <w:rFonts w:ascii="Times New Roman" w:hAnsi="Times New Roman" w:cs="Times New Roman"/>
          <w:sz w:val="20"/>
          <w:szCs w:val="20"/>
        </w:rPr>
        <w:footnoteRef/>
      </w:r>
      <w:r w:rsidRPr="005457AB">
        <w:rPr>
          <w:rFonts w:ascii="Times New Roman" w:hAnsi="Times New Roman" w:cs="Times New Roman"/>
          <w:sz w:val="20"/>
          <w:szCs w:val="20"/>
        </w:rPr>
        <w:t xml:space="preserve"> ONU. Principios básicos de las Naciones Unidas relativos a la independencia de la judicatura, adoptados</w:t>
      </w:r>
      <w:r>
        <w:rPr>
          <w:rFonts w:ascii="Times New Roman" w:hAnsi="Times New Roman" w:cs="Times New Roman"/>
          <w:sz w:val="20"/>
          <w:szCs w:val="20"/>
        </w:rPr>
        <w:t xml:space="preserve"> en el Séptimo Congreso de las Naciones Unidas sobre Prevención del Delito y Tratamiento del Delincuente, celebrado en Milán, Italia, del 26 de agosto al 6 de septiembre de 1985.  ID. Los Principios de Bangalore sobre la Conducta Judicial, aprobados en la reunión de Presidentes de Tribunales Superiores, celebrada en la Haya los días 25 y 36 de noviembre de 2002. </w:t>
      </w:r>
      <w:r>
        <w:t xml:space="preserve"> </w:t>
      </w:r>
    </w:p>
  </w:footnote>
  <w:footnote w:id="5">
    <w:p w:rsidR="00206ECF" w:rsidRPr="00B06254" w:rsidRDefault="00206ECF" w:rsidP="00311CB4">
      <w:pPr>
        <w:pStyle w:val="FootnoteText"/>
        <w:jc w:val="both"/>
        <w:rPr>
          <w:rFonts w:ascii="Times New Roman" w:hAnsi="Times New Roman" w:cs="Times New Roman"/>
          <w:sz w:val="20"/>
          <w:szCs w:val="20"/>
        </w:rPr>
      </w:pPr>
      <w:r w:rsidRPr="00B06254">
        <w:rPr>
          <w:rStyle w:val="FootnoteReference"/>
          <w:rFonts w:ascii="Times New Roman" w:hAnsi="Times New Roman" w:cs="Times New Roman"/>
          <w:sz w:val="20"/>
          <w:szCs w:val="20"/>
        </w:rPr>
        <w:footnoteRef/>
      </w:r>
      <w:r w:rsidRPr="00B06254">
        <w:rPr>
          <w:rFonts w:ascii="Times New Roman" w:hAnsi="Times New Roman" w:cs="Times New Roman"/>
          <w:sz w:val="20"/>
          <w:szCs w:val="20"/>
        </w:rPr>
        <w:t xml:space="preserve"> Sobre la importancia de la independencia del Poder Judicial se puede consultar: </w:t>
      </w:r>
      <w:r w:rsidR="00555157" w:rsidRPr="00B06254">
        <w:rPr>
          <w:rFonts w:ascii="Times New Roman" w:hAnsi="Times New Roman" w:cs="Times New Roman"/>
          <w:sz w:val="20"/>
          <w:szCs w:val="20"/>
        </w:rPr>
        <w:t xml:space="preserve">DAL CANTO Francesco. </w:t>
      </w:r>
      <w:r w:rsidR="00555157" w:rsidRPr="00B06254">
        <w:rPr>
          <w:rFonts w:ascii="Times New Roman" w:hAnsi="Times New Roman" w:cs="Times New Roman"/>
          <w:i/>
          <w:sz w:val="20"/>
          <w:szCs w:val="20"/>
        </w:rPr>
        <w:t>Lezioni di ordinamento giudiziario</w:t>
      </w:r>
      <w:r w:rsidR="00555157" w:rsidRPr="00B06254">
        <w:rPr>
          <w:rFonts w:ascii="Times New Roman" w:hAnsi="Times New Roman" w:cs="Times New Roman"/>
          <w:sz w:val="20"/>
          <w:szCs w:val="20"/>
        </w:rPr>
        <w:t xml:space="preserve">. Ed. Giappichelli, Turín, 2018. </w:t>
      </w:r>
      <w:r w:rsidR="00B06254" w:rsidRPr="00B06254">
        <w:rPr>
          <w:rFonts w:ascii="Times New Roman" w:hAnsi="Times New Roman" w:cs="Times New Roman"/>
          <w:sz w:val="20"/>
          <w:szCs w:val="20"/>
        </w:rPr>
        <w:t xml:space="preserve">LOUSADA AROCHENA José Fernando. La independencia judicial. Ed. Dykinson, España, 2015. NIETO GARCÍA Alejandro. </w:t>
      </w:r>
      <w:r w:rsidR="00B06254" w:rsidRPr="00B06254">
        <w:rPr>
          <w:rFonts w:ascii="Times New Roman" w:hAnsi="Times New Roman" w:cs="Times New Roman"/>
          <w:i/>
          <w:iCs/>
          <w:sz w:val="20"/>
          <w:szCs w:val="20"/>
        </w:rPr>
        <w:t>El malestar de los jueces y el modelo judicial</w:t>
      </w:r>
      <w:r w:rsidR="00B06254" w:rsidRPr="00B06254">
        <w:rPr>
          <w:rFonts w:ascii="Times New Roman" w:hAnsi="Times New Roman" w:cs="Times New Roman"/>
          <w:sz w:val="20"/>
          <w:szCs w:val="20"/>
        </w:rPr>
        <w:t>. Ed. Trotta, España, 2010. PERFECTO Andrés Ibañez.</w:t>
      </w:r>
      <w:r w:rsidR="00B06254" w:rsidRPr="00B06254">
        <w:rPr>
          <w:rFonts w:ascii="Times New Roman" w:hAnsi="Times New Roman" w:cs="Times New Roman"/>
          <w:i/>
          <w:iCs/>
          <w:sz w:val="20"/>
          <w:szCs w:val="20"/>
        </w:rPr>
        <w:t xml:space="preserve"> Tercero en discordia. Jurisdicción y juez del estado constitucional. </w:t>
      </w:r>
      <w:r w:rsidR="00B06254" w:rsidRPr="00B06254">
        <w:rPr>
          <w:rFonts w:ascii="Times New Roman" w:hAnsi="Times New Roman" w:cs="Times New Roman"/>
          <w:sz w:val="20"/>
          <w:szCs w:val="20"/>
        </w:rPr>
        <w:t xml:space="preserve">Ed. Trotta Madrid, 2015. </w:t>
      </w:r>
      <w:r w:rsidRPr="00B06254">
        <w:rPr>
          <w:rFonts w:ascii="Times New Roman" w:hAnsi="Times New Roman" w:cs="Times New Roman"/>
          <w:color w:val="000000" w:themeColor="text1"/>
          <w:sz w:val="20"/>
          <w:szCs w:val="20"/>
        </w:rPr>
        <w:t>ROMBOLI Roberto.</w:t>
      </w:r>
      <w:r w:rsidRPr="00B06254">
        <w:rPr>
          <w:rFonts w:ascii="Times New Roman" w:hAnsi="Times New Roman" w:cs="Times New Roman"/>
          <w:i/>
          <w:color w:val="000000" w:themeColor="text1"/>
          <w:sz w:val="20"/>
          <w:szCs w:val="20"/>
        </w:rPr>
        <w:t xml:space="preserve"> La Magistratura</w:t>
      </w:r>
      <w:r w:rsidRPr="00B06254">
        <w:rPr>
          <w:rFonts w:ascii="Times New Roman" w:hAnsi="Times New Roman" w:cs="Times New Roman"/>
          <w:color w:val="000000" w:themeColor="text1"/>
          <w:sz w:val="20"/>
          <w:szCs w:val="20"/>
        </w:rPr>
        <w:t xml:space="preserve">, p. 229. En ROMBOLI R. (a cura di). </w:t>
      </w:r>
      <w:r w:rsidRPr="00B06254">
        <w:rPr>
          <w:rFonts w:ascii="Times New Roman" w:hAnsi="Times New Roman" w:cs="Times New Roman"/>
          <w:i/>
          <w:iCs/>
          <w:color w:val="000000" w:themeColor="text1"/>
          <w:sz w:val="20"/>
          <w:szCs w:val="20"/>
        </w:rPr>
        <w:t>Manuale di diritto costituzionale italiano ed europeo</w:t>
      </w:r>
      <w:r w:rsidRPr="00B06254">
        <w:rPr>
          <w:rFonts w:ascii="Times New Roman" w:hAnsi="Times New Roman" w:cs="Times New Roman"/>
          <w:color w:val="000000" w:themeColor="text1"/>
          <w:sz w:val="20"/>
          <w:szCs w:val="20"/>
        </w:rPr>
        <w:t xml:space="preserve">. Ed Giappichelli, Turín, Tomo III, 2009. PIZZORUSSO. Alessandro. </w:t>
      </w:r>
      <w:r w:rsidRPr="00B06254">
        <w:rPr>
          <w:rFonts w:ascii="Times New Roman" w:hAnsi="Times New Roman" w:cs="Times New Roman"/>
          <w:i/>
          <w:color w:val="000000" w:themeColor="text1"/>
          <w:sz w:val="20"/>
          <w:szCs w:val="20"/>
        </w:rPr>
        <w:t xml:space="preserve">L’organizzazione della giustizia in Italia. La magistratura nel sistema político e istituzionale. </w:t>
      </w:r>
      <w:r w:rsidRPr="00B06254">
        <w:rPr>
          <w:rFonts w:ascii="Times New Roman" w:hAnsi="Times New Roman" w:cs="Times New Roman"/>
          <w:color w:val="000000" w:themeColor="text1"/>
          <w:sz w:val="20"/>
          <w:szCs w:val="20"/>
        </w:rPr>
        <w:t>Ed. Einaudi, Torino, 1990.</w:t>
      </w:r>
    </w:p>
  </w:footnote>
  <w:footnote w:id="6">
    <w:p w:rsidR="00311CB4" w:rsidRPr="00B17615" w:rsidRDefault="00206ECF" w:rsidP="00311CB4">
      <w:pPr>
        <w:jc w:val="both"/>
        <w:rPr>
          <w:rFonts w:ascii="Times New Roman" w:hAnsi="Times New Roman" w:cs="Times New Roman"/>
          <w:sz w:val="20"/>
          <w:szCs w:val="20"/>
        </w:rPr>
      </w:pPr>
      <w:r w:rsidRPr="00B06254">
        <w:rPr>
          <w:rStyle w:val="FootnoteReference"/>
          <w:rFonts w:ascii="Times New Roman" w:hAnsi="Times New Roman" w:cs="Times New Roman"/>
          <w:sz w:val="20"/>
          <w:szCs w:val="20"/>
        </w:rPr>
        <w:footnoteRef/>
      </w:r>
      <w:r w:rsidRPr="00B06254">
        <w:rPr>
          <w:rFonts w:ascii="Times New Roman" w:hAnsi="Times New Roman" w:cs="Times New Roman"/>
          <w:sz w:val="20"/>
          <w:szCs w:val="20"/>
        </w:rPr>
        <w:t xml:space="preserve"> </w:t>
      </w:r>
      <w:r w:rsidR="00311CB4">
        <w:rPr>
          <w:rFonts w:ascii="Times New Roman" w:hAnsi="Times New Roman" w:cs="Times New Roman"/>
          <w:sz w:val="20"/>
          <w:szCs w:val="20"/>
        </w:rPr>
        <w:t xml:space="preserve">ABREU BURELI Alirio. </w:t>
      </w:r>
      <w:r w:rsidR="00311CB4" w:rsidRPr="00311CB4">
        <w:rPr>
          <w:rFonts w:ascii="Times New Roman" w:hAnsi="Times New Roman" w:cs="Times New Roman"/>
          <w:i/>
          <w:iCs/>
          <w:sz w:val="20"/>
          <w:szCs w:val="20"/>
        </w:rPr>
        <w:t xml:space="preserve">Independencia Judicial (jurisprudencia de la Corte Interamericana de Derechos Humanos. </w:t>
      </w:r>
      <w:r w:rsidR="00311CB4">
        <w:rPr>
          <w:rFonts w:ascii="Times New Roman" w:hAnsi="Times New Roman" w:cs="Times New Roman"/>
          <w:sz w:val="20"/>
          <w:szCs w:val="20"/>
        </w:rPr>
        <w:t xml:space="preserve">En Anuario de Derecho Constitucional Latinoamericano, Tomo II, 2007. </w:t>
      </w:r>
      <w:r w:rsidR="00B06254" w:rsidRPr="00B06254">
        <w:rPr>
          <w:rFonts w:ascii="Times New Roman" w:hAnsi="Times New Roman" w:cs="Times New Roman"/>
          <w:sz w:val="20"/>
          <w:szCs w:val="20"/>
        </w:rPr>
        <w:t>Centro por la Justicia y el Derecho Internacional (CEJIL).</w:t>
      </w:r>
      <w:r w:rsidR="00B06254">
        <w:rPr>
          <w:rFonts w:ascii="Times New Roman" w:hAnsi="Times New Roman" w:cs="Times New Roman"/>
          <w:sz w:val="20"/>
          <w:szCs w:val="20"/>
        </w:rPr>
        <w:t xml:space="preserve"> </w:t>
      </w:r>
      <w:r w:rsidR="00B06254" w:rsidRPr="00B06254">
        <w:rPr>
          <w:rFonts w:ascii="Times New Roman" w:hAnsi="Times New Roman" w:cs="Times New Roman"/>
          <w:i/>
          <w:iCs/>
          <w:sz w:val="20"/>
          <w:szCs w:val="20"/>
        </w:rPr>
        <w:t>Compendio de Estándares Internacionales para la protección de la Independencia Judicial</w:t>
      </w:r>
      <w:r w:rsidR="00B06254">
        <w:rPr>
          <w:rFonts w:ascii="Times New Roman" w:hAnsi="Times New Roman" w:cs="Times New Roman"/>
          <w:sz w:val="20"/>
          <w:szCs w:val="20"/>
        </w:rPr>
        <w:t xml:space="preserve">. Primera Edición, San José, 2019. </w:t>
      </w:r>
      <w:r w:rsidR="00311CB4">
        <w:rPr>
          <w:rFonts w:ascii="Times New Roman" w:hAnsi="Times New Roman" w:cs="Times New Roman"/>
          <w:sz w:val="20"/>
          <w:szCs w:val="20"/>
        </w:rPr>
        <w:t xml:space="preserve"> </w:t>
      </w:r>
      <w:r w:rsidR="00311CB4" w:rsidRPr="00B17615">
        <w:rPr>
          <w:rFonts w:ascii="Times New Roman" w:hAnsi="Times New Roman" w:cs="Times New Roman"/>
          <w:sz w:val="20"/>
          <w:szCs w:val="20"/>
        </w:rPr>
        <w:t xml:space="preserve">PARRA VERA Oscar. </w:t>
      </w:r>
      <w:r w:rsidR="00311CB4" w:rsidRPr="00B17615">
        <w:rPr>
          <w:rFonts w:ascii="Times New Roman" w:hAnsi="Times New Roman" w:cs="Times New Roman"/>
          <w:i/>
          <w:iCs/>
          <w:sz w:val="20"/>
          <w:szCs w:val="20"/>
        </w:rPr>
        <w:t>La Independencia Judicial en la Jurisprudencia de la Corte Interamericana de Derechos Humanos</w:t>
      </w:r>
      <w:r w:rsidR="00311CB4" w:rsidRPr="00B17615">
        <w:rPr>
          <w:rFonts w:ascii="Times New Roman" w:hAnsi="Times New Roman" w:cs="Times New Roman"/>
          <w:sz w:val="20"/>
          <w:szCs w:val="20"/>
        </w:rPr>
        <w:t>, p. 485-530. En SAIZ ARNAIZ Alejandro (Director), SOLANES MULLOR</w:t>
      </w:r>
      <w:r w:rsidR="00311CB4" w:rsidRPr="00B17615">
        <w:rPr>
          <w:sz w:val="20"/>
          <w:szCs w:val="20"/>
        </w:rPr>
        <w:t xml:space="preserve"> </w:t>
      </w:r>
      <w:r w:rsidR="00311CB4" w:rsidRPr="00B17615">
        <w:rPr>
          <w:rFonts w:ascii="Times New Roman" w:hAnsi="Times New Roman" w:cs="Times New Roman"/>
          <w:sz w:val="20"/>
          <w:szCs w:val="20"/>
        </w:rPr>
        <w:t>Joan y Roa Roa</w:t>
      </w:r>
      <w:r w:rsidR="00311CB4" w:rsidRPr="00B17615">
        <w:rPr>
          <w:sz w:val="20"/>
          <w:szCs w:val="20"/>
        </w:rPr>
        <w:t xml:space="preserve"> </w:t>
      </w:r>
      <w:r w:rsidR="00311CB4" w:rsidRPr="00B17615">
        <w:rPr>
          <w:rFonts w:ascii="Times New Roman" w:hAnsi="Times New Roman" w:cs="Times New Roman"/>
          <w:sz w:val="20"/>
          <w:szCs w:val="20"/>
        </w:rPr>
        <w:t xml:space="preserve">Jorge Ernesto (coords.) </w:t>
      </w:r>
      <w:r w:rsidR="00311CB4" w:rsidRPr="00B17615">
        <w:rPr>
          <w:rFonts w:ascii="Times New Roman" w:hAnsi="Times New Roman" w:cs="Times New Roman"/>
          <w:i/>
          <w:iCs/>
          <w:sz w:val="20"/>
          <w:szCs w:val="20"/>
        </w:rPr>
        <w:t>Diálogos Judiciales en el Sistema Interamericano de Derechos Humanos</w:t>
      </w:r>
      <w:r w:rsidR="00311CB4" w:rsidRPr="00B17615">
        <w:rPr>
          <w:rFonts w:ascii="Times New Roman" w:hAnsi="Times New Roman" w:cs="Times New Roman"/>
          <w:sz w:val="20"/>
          <w:szCs w:val="20"/>
        </w:rPr>
        <w:t xml:space="preserve">. Ed. Tirant Lo Blanch, Valencia, 2017. </w:t>
      </w:r>
    </w:p>
    <w:p w:rsidR="00206ECF" w:rsidRPr="00311CB4" w:rsidRDefault="00206ECF" w:rsidP="00311CB4">
      <w:pPr>
        <w:pStyle w:val="FootnoteText"/>
        <w:jc w:val="both"/>
        <w:rPr>
          <w:rFonts w:ascii="Times New Roman" w:hAnsi="Times New Roman" w:cs="Times New Roman"/>
          <w:sz w:val="20"/>
          <w:szCs w:val="20"/>
        </w:rPr>
      </w:pPr>
    </w:p>
  </w:footnote>
  <w:footnote w:id="7">
    <w:p w:rsidR="006813F2" w:rsidRPr="006813F2" w:rsidRDefault="006813F2" w:rsidP="004B2806">
      <w:pPr>
        <w:pStyle w:val="FootnoteText"/>
        <w:jc w:val="both"/>
        <w:rPr>
          <w:rFonts w:ascii="Times New Roman" w:hAnsi="Times New Roman" w:cs="Times New Roman"/>
          <w:sz w:val="20"/>
          <w:szCs w:val="20"/>
        </w:rPr>
      </w:pPr>
      <w:r w:rsidRPr="006813F2">
        <w:rPr>
          <w:rStyle w:val="FootnoteReference"/>
          <w:rFonts w:ascii="Times New Roman" w:hAnsi="Times New Roman" w:cs="Times New Roman"/>
          <w:sz w:val="20"/>
          <w:szCs w:val="20"/>
        </w:rPr>
        <w:footnoteRef/>
      </w:r>
      <w:r w:rsidRPr="006813F2">
        <w:rPr>
          <w:rFonts w:ascii="Times New Roman" w:hAnsi="Times New Roman" w:cs="Times New Roman"/>
          <w:sz w:val="20"/>
          <w:szCs w:val="20"/>
        </w:rPr>
        <w:t xml:space="preserve"> </w:t>
      </w:r>
      <w:bookmarkStart w:id="3" w:name="_Hlk26881193"/>
      <w:r w:rsidRPr="006813F2">
        <w:rPr>
          <w:rFonts w:ascii="Times New Roman" w:hAnsi="Times New Roman" w:cs="Times New Roman"/>
          <w:sz w:val="20"/>
          <w:szCs w:val="20"/>
        </w:rPr>
        <w:t>Corte</w:t>
      </w:r>
      <w:r w:rsidR="004B2806">
        <w:rPr>
          <w:rFonts w:ascii="Times New Roman" w:hAnsi="Times New Roman" w:cs="Times New Roman"/>
          <w:sz w:val="20"/>
          <w:szCs w:val="20"/>
        </w:rPr>
        <w:t xml:space="preserve"> Interamericana de Derechos Humanos, en adelante </w:t>
      </w:r>
      <w:bookmarkStart w:id="4" w:name="_Hlk26883236"/>
      <w:r w:rsidR="004B2806">
        <w:rPr>
          <w:rFonts w:ascii="Times New Roman" w:hAnsi="Times New Roman" w:cs="Times New Roman"/>
          <w:sz w:val="20"/>
          <w:szCs w:val="20"/>
        </w:rPr>
        <w:t>Corte</w:t>
      </w:r>
      <w:r w:rsidRPr="006813F2">
        <w:rPr>
          <w:rFonts w:ascii="Times New Roman" w:hAnsi="Times New Roman" w:cs="Times New Roman"/>
          <w:sz w:val="20"/>
          <w:szCs w:val="20"/>
        </w:rPr>
        <w:t xml:space="preserve"> IDH. </w:t>
      </w:r>
      <w:r w:rsidR="004B2806" w:rsidRPr="004B2806">
        <w:rPr>
          <w:rFonts w:ascii="Times New Roman" w:hAnsi="Times New Roman" w:cs="Times New Roman"/>
          <w:sz w:val="20"/>
          <w:szCs w:val="20"/>
        </w:rPr>
        <w:t>Caso del Tribunal Constitucional vs. Perú. Fondo, Reparaciones y Costas.  Sentencia de 31 de enero de 2001 Serie C No. 71</w:t>
      </w:r>
      <w:bookmarkEnd w:id="4"/>
      <w:r w:rsidR="004B2806">
        <w:rPr>
          <w:rFonts w:ascii="Times New Roman" w:hAnsi="Times New Roman" w:cs="Times New Roman"/>
          <w:sz w:val="20"/>
          <w:szCs w:val="20"/>
        </w:rPr>
        <w:t xml:space="preserve">, párr. </w:t>
      </w:r>
      <w:r w:rsidRPr="006813F2">
        <w:rPr>
          <w:rFonts w:ascii="Times New Roman" w:hAnsi="Times New Roman" w:cs="Times New Roman"/>
          <w:sz w:val="20"/>
          <w:szCs w:val="20"/>
        </w:rPr>
        <w:t xml:space="preserve">73. </w:t>
      </w:r>
      <w:bookmarkEnd w:id="3"/>
    </w:p>
  </w:footnote>
  <w:footnote w:id="8">
    <w:p w:rsidR="006813F2" w:rsidRPr="004B2806" w:rsidRDefault="006813F2" w:rsidP="004B2806">
      <w:pPr>
        <w:pStyle w:val="FootnoteText"/>
        <w:jc w:val="both"/>
        <w:rPr>
          <w:rFonts w:ascii="Times New Roman" w:hAnsi="Times New Roman" w:cs="Times New Roman"/>
          <w:iCs/>
          <w:sz w:val="20"/>
          <w:szCs w:val="20"/>
        </w:rPr>
      </w:pPr>
      <w:r w:rsidRPr="006813F2">
        <w:rPr>
          <w:rStyle w:val="FootnoteReference"/>
          <w:rFonts w:ascii="Times New Roman" w:hAnsi="Times New Roman" w:cs="Times New Roman"/>
          <w:sz w:val="20"/>
          <w:szCs w:val="20"/>
        </w:rPr>
        <w:footnoteRef/>
      </w:r>
      <w:r w:rsidRPr="006813F2">
        <w:rPr>
          <w:rFonts w:ascii="Times New Roman" w:hAnsi="Times New Roman" w:cs="Times New Roman"/>
          <w:sz w:val="20"/>
          <w:szCs w:val="20"/>
        </w:rPr>
        <w:t xml:space="preserve"> </w:t>
      </w:r>
      <w:bookmarkStart w:id="5" w:name="_Hlk26883030"/>
      <w:r w:rsidRPr="006813F2">
        <w:rPr>
          <w:rFonts w:ascii="Times New Roman" w:hAnsi="Times New Roman" w:cs="Times New Roman"/>
          <w:sz w:val="20"/>
          <w:szCs w:val="20"/>
        </w:rPr>
        <w:t xml:space="preserve">Corte IDH. </w:t>
      </w:r>
      <w:r w:rsidR="004B2806" w:rsidRPr="004B2806">
        <w:rPr>
          <w:rFonts w:ascii="Times New Roman" w:hAnsi="Times New Roman" w:cs="Times New Roman"/>
          <w:sz w:val="20"/>
          <w:szCs w:val="20"/>
        </w:rPr>
        <w:t xml:space="preserve">Caso Apitz Barbera y otros (“Corte Primera de lo Contencioso Administrativo”) </w:t>
      </w:r>
      <w:r w:rsidR="009078A2">
        <w:rPr>
          <w:rFonts w:ascii="Times New Roman" w:hAnsi="Times New Roman" w:cs="Times New Roman"/>
          <w:sz w:val="20"/>
          <w:szCs w:val="20"/>
        </w:rPr>
        <w:t>v</w:t>
      </w:r>
      <w:r w:rsidR="004B2806" w:rsidRPr="004B2806">
        <w:rPr>
          <w:rFonts w:ascii="Times New Roman" w:hAnsi="Times New Roman" w:cs="Times New Roman"/>
          <w:sz w:val="20"/>
          <w:szCs w:val="20"/>
        </w:rPr>
        <w:t xml:space="preserve">s. Venezuela. </w:t>
      </w:r>
      <w:bookmarkEnd w:id="5"/>
      <w:r w:rsidR="004B2806" w:rsidRPr="004B2806">
        <w:rPr>
          <w:rFonts w:ascii="Times New Roman" w:hAnsi="Times New Roman" w:cs="Times New Roman"/>
          <w:sz w:val="20"/>
          <w:szCs w:val="20"/>
        </w:rPr>
        <w:t>Excepción Preliminar, Fondo, Reparaciones y Costas. Sentencia de 5 de agosto de 2008. Serie C No. 182</w:t>
      </w:r>
      <w:r w:rsidR="004B2806">
        <w:rPr>
          <w:rFonts w:ascii="Times New Roman" w:hAnsi="Times New Roman" w:cs="Times New Roman"/>
          <w:sz w:val="20"/>
          <w:szCs w:val="20"/>
        </w:rPr>
        <w:t xml:space="preserve">, </w:t>
      </w:r>
      <w:r w:rsidRPr="006813F2">
        <w:rPr>
          <w:rFonts w:ascii="Times New Roman" w:hAnsi="Times New Roman" w:cs="Times New Roman"/>
          <w:iCs/>
          <w:sz w:val="20"/>
          <w:szCs w:val="20"/>
        </w:rPr>
        <w:t>párr. 55.</w:t>
      </w:r>
    </w:p>
  </w:footnote>
  <w:footnote w:id="9">
    <w:p w:rsidR="006813F2" w:rsidRDefault="006813F2" w:rsidP="004B2806">
      <w:pPr>
        <w:pStyle w:val="FootnoteText"/>
        <w:jc w:val="both"/>
      </w:pPr>
      <w:r w:rsidRPr="006813F2">
        <w:rPr>
          <w:rStyle w:val="FootnoteReference"/>
          <w:rFonts w:ascii="Times New Roman" w:hAnsi="Times New Roman" w:cs="Times New Roman"/>
          <w:sz w:val="20"/>
          <w:szCs w:val="20"/>
        </w:rPr>
        <w:footnoteRef/>
      </w:r>
      <w:r w:rsidRPr="006813F2">
        <w:rPr>
          <w:rFonts w:ascii="Times New Roman" w:hAnsi="Times New Roman" w:cs="Times New Roman"/>
          <w:sz w:val="20"/>
          <w:szCs w:val="20"/>
        </w:rPr>
        <w:t xml:space="preserve"> Corte IDH</w:t>
      </w:r>
      <w:r>
        <w:rPr>
          <w:rFonts w:ascii="Times New Roman" w:hAnsi="Times New Roman" w:cs="Times New Roman"/>
          <w:sz w:val="20"/>
          <w:szCs w:val="20"/>
        </w:rPr>
        <w:t>. Caso Reverón Trujillo vs. Venezuela. Excepción Preliminar, Fondo Reparaciones. Sentencia de 30 de junio de 2009, Serie C No. 197, párr. 68.</w:t>
      </w:r>
    </w:p>
  </w:footnote>
  <w:footnote w:id="10">
    <w:p w:rsidR="006813F2" w:rsidRPr="006813F2" w:rsidRDefault="006813F2">
      <w:pPr>
        <w:pStyle w:val="FootnoteText"/>
        <w:rPr>
          <w:rFonts w:ascii="Times New Roman" w:hAnsi="Times New Roman" w:cs="Times New Roman"/>
          <w:sz w:val="20"/>
          <w:szCs w:val="20"/>
        </w:rPr>
      </w:pPr>
      <w:r w:rsidRPr="006813F2">
        <w:rPr>
          <w:rStyle w:val="FootnoteReference"/>
          <w:rFonts w:ascii="Times New Roman" w:hAnsi="Times New Roman" w:cs="Times New Roman"/>
          <w:sz w:val="20"/>
          <w:szCs w:val="20"/>
        </w:rPr>
        <w:footnoteRef/>
      </w:r>
      <w:r w:rsidRPr="006813F2">
        <w:rPr>
          <w:rFonts w:ascii="Times New Roman" w:hAnsi="Times New Roman" w:cs="Times New Roman"/>
          <w:sz w:val="20"/>
          <w:szCs w:val="20"/>
        </w:rPr>
        <w:t xml:space="preserve"> Corte IDH. </w:t>
      </w:r>
      <w:r w:rsidRPr="006813F2">
        <w:rPr>
          <w:rFonts w:ascii="Times New Roman" w:hAnsi="Times New Roman" w:cs="Times New Roman"/>
          <w:iCs/>
          <w:sz w:val="20"/>
          <w:szCs w:val="20"/>
        </w:rPr>
        <w:t>Caso del Tribunal Constitucional vs. Perú,</w:t>
      </w:r>
      <w:r w:rsidRPr="006813F2">
        <w:rPr>
          <w:rFonts w:ascii="Times New Roman" w:hAnsi="Times New Roman" w:cs="Times New Roman"/>
          <w:sz w:val="20"/>
          <w:szCs w:val="20"/>
        </w:rPr>
        <w:t xml:space="preserve"> </w:t>
      </w:r>
      <w:r w:rsidR="004B2806">
        <w:rPr>
          <w:rFonts w:ascii="Times New Roman" w:hAnsi="Times New Roman" w:cs="Times New Roman"/>
          <w:sz w:val="20"/>
          <w:szCs w:val="20"/>
        </w:rPr>
        <w:t xml:space="preserve">op. cit. </w:t>
      </w:r>
      <w:r w:rsidRPr="006813F2">
        <w:rPr>
          <w:rFonts w:ascii="Times New Roman" w:hAnsi="Times New Roman" w:cs="Times New Roman"/>
          <w:sz w:val="20"/>
          <w:szCs w:val="20"/>
        </w:rPr>
        <w:t>párr. 7</w:t>
      </w:r>
      <w:r>
        <w:rPr>
          <w:rFonts w:ascii="Times New Roman" w:hAnsi="Times New Roman" w:cs="Times New Roman"/>
          <w:sz w:val="20"/>
          <w:szCs w:val="20"/>
        </w:rPr>
        <w:t>5.</w:t>
      </w:r>
    </w:p>
  </w:footnote>
  <w:footnote w:id="11">
    <w:p w:rsidR="006813F2" w:rsidRDefault="006813F2">
      <w:pPr>
        <w:pStyle w:val="FootnoteText"/>
      </w:pPr>
      <w:r w:rsidRPr="006813F2">
        <w:rPr>
          <w:rStyle w:val="FootnoteReference"/>
          <w:rFonts w:ascii="Times New Roman" w:hAnsi="Times New Roman" w:cs="Times New Roman"/>
          <w:sz w:val="20"/>
          <w:szCs w:val="20"/>
        </w:rPr>
        <w:footnoteRef/>
      </w:r>
      <w:r>
        <w:t xml:space="preserve"> </w:t>
      </w:r>
      <w:r w:rsidR="009078A2" w:rsidRPr="006813F2">
        <w:rPr>
          <w:rFonts w:ascii="Times New Roman" w:hAnsi="Times New Roman" w:cs="Times New Roman"/>
          <w:sz w:val="20"/>
          <w:szCs w:val="20"/>
        </w:rPr>
        <w:t xml:space="preserve">Corte IDH. </w:t>
      </w:r>
      <w:r w:rsidR="009078A2" w:rsidRPr="004B2806">
        <w:rPr>
          <w:rFonts w:ascii="Times New Roman" w:hAnsi="Times New Roman" w:cs="Times New Roman"/>
          <w:sz w:val="20"/>
          <w:szCs w:val="20"/>
        </w:rPr>
        <w:t xml:space="preserve">Caso Apitz Barbera y otros (“Corte Primera de lo Contencioso Administrativo”) </w:t>
      </w:r>
      <w:r w:rsidR="009078A2">
        <w:rPr>
          <w:rFonts w:ascii="Times New Roman" w:hAnsi="Times New Roman" w:cs="Times New Roman"/>
          <w:sz w:val="20"/>
          <w:szCs w:val="20"/>
        </w:rPr>
        <w:t>v</w:t>
      </w:r>
      <w:r w:rsidR="009078A2" w:rsidRPr="004B2806">
        <w:rPr>
          <w:rFonts w:ascii="Times New Roman" w:hAnsi="Times New Roman" w:cs="Times New Roman"/>
          <w:sz w:val="20"/>
          <w:szCs w:val="20"/>
        </w:rPr>
        <w:t>s. Venezuela</w:t>
      </w:r>
      <w:r w:rsidR="009078A2">
        <w:rPr>
          <w:rFonts w:ascii="Times New Roman" w:hAnsi="Times New Roman" w:cs="Times New Roman"/>
          <w:sz w:val="20"/>
          <w:szCs w:val="20"/>
        </w:rPr>
        <w:t xml:space="preserve">, op. cit. p. 56. </w:t>
      </w:r>
    </w:p>
  </w:footnote>
  <w:footnote w:id="12">
    <w:p w:rsidR="00F75952" w:rsidRDefault="00F75952">
      <w:pPr>
        <w:pStyle w:val="FootnoteText"/>
      </w:pPr>
      <w:r>
        <w:rPr>
          <w:rStyle w:val="FootnoteReference"/>
        </w:rPr>
        <w:footnoteRef/>
      </w:r>
      <w:r>
        <w:t xml:space="preserve"> </w:t>
      </w:r>
      <w:r>
        <w:rPr>
          <w:rFonts w:ascii="Times New Roman" w:hAnsi="Times New Roman" w:cs="Times New Roman"/>
          <w:sz w:val="20"/>
          <w:szCs w:val="20"/>
        </w:rPr>
        <w:t>Corte</w:t>
      </w:r>
      <w:r w:rsidRPr="006813F2">
        <w:rPr>
          <w:rFonts w:ascii="Times New Roman" w:hAnsi="Times New Roman" w:cs="Times New Roman"/>
          <w:sz w:val="20"/>
          <w:szCs w:val="20"/>
        </w:rPr>
        <w:t xml:space="preserve"> IDH. </w:t>
      </w:r>
      <w:r w:rsidRPr="004B2806">
        <w:rPr>
          <w:rFonts w:ascii="Times New Roman" w:hAnsi="Times New Roman" w:cs="Times New Roman"/>
          <w:sz w:val="20"/>
          <w:szCs w:val="20"/>
        </w:rPr>
        <w:t>Caso del Tribunal Constitucional vs. Perú. Fondo, Reparaciones y Costas.  Sentencia de 31 de enero de 2001 Serie C No. 71</w:t>
      </w:r>
      <w:r>
        <w:rPr>
          <w:rFonts w:ascii="Times New Roman" w:hAnsi="Times New Roman" w:cs="Times New Roman"/>
          <w:sz w:val="20"/>
          <w:szCs w:val="20"/>
        </w:rPr>
        <w:t xml:space="preserve">. </w:t>
      </w:r>
    </w:p>
  </w:footnote>
  <w:footnote w:id="13">
    <w:p w:rsidR="00F75952" w:rsidRDefault="00F75952">
      <w:pPr>
        <w:pStyle w:val="FootnoteText"/>
      </w:pPr>
      <w:r>
        <w:rPr>
          <w:rStyle w:val="FootnoteReference"/>
        </w:rPr>
        <w:footnoteRef/>
      </w:r>
      <w:r>
        <w:t xml:space="preserve"> </w:t>
      </w:r>
      <w:r>
        <w:rPr>
          <w:rFonts w:ascii="Times New Roman" w:hAnsi="Times New Roman" w:cs="Times New Roman"/>
          <w:sz w:val="20"/>
          <w:szCs w:val="20"/>
        </w:rPr>
        <w:t>Corte</w:t>
      </w:r>
      <w:r w:rsidRPr="006813F2">
        <w:rPr>
          <w:rFonts w:ascii="Times New Roman" w:hAnsi="Times New Roman" w:cs="Times New Roman"/>
          <w:sz w:val="20"/>
          <w:szCs w:val="20"/>
        </w:rPr>
        <w:t xml:space="preserve"> IDH. </w:t>
      </w:r>
      <w:r w:rsidRPr="004B2806">
        <w:rPr>
          <w:rFonts w:ascii="Times New Roman" w:hAnsi="Times New Roman" w:cs="Times New Roman"/>
          <w:sz w:val="20"/>
          <w:szCs w:val="20"/>
        </w:rPr>
        <w:t>Caso del Tribunal Constitucional vs. Perú</w:t>
      </w:r>
      <w:r>
        <w:rPr>
          <w:rFonts w:ascii="Times New Roman" w:hAnsi="Times New Roman" w:cs="Times New Roman"/>
          <w:sz w:val="20"/>
          <w:szCs w:val="20"/>
        </w:rPr>
        <w:t xml:space="preserve">, op. cit. párr. 73 – 84. </w:t>
      </w:r>
    </w:p>
  </w:footnote>
  <w:footnote w:id="14">
    <w:p w:rsidR="00F75952" w:rsidRDefault="00F75952">
      <w:pPr>
        <w:pStyle w:val="FootnoteText"/>
      </w:pPr>
      <w:r>
        <w:rPr>
          <w:rStyle w:val="FootnoteReference"/>
        </w:rPr>
        <w:footnoteRef/>
      </w:r>
      <w:r>
        <w:t xml:space="preserve"> </w:t>
      </w:r>
      <w:r>
        <w:rPr>
          <w:rFonts w:ascii="Times New Roman" w:hAnsi="Times New Roman" w:cs="Times New Roman"/>
          <w:sz w:val="20"/>
          <w:szCs w:val="20"/>
        </w:rPr>
        <w:t>Corte</w:t>
      </w:r>
      <w:r w:rsidRPr="006813F2">
        <w:rPr>
          <w:rFonts w:ascii="Times New Roman" w:hAnsi="Times New Roman" w:cs="Times New Roman"/>
          <w:sz w:val="20"/>
          <w:szCs w:val="20"/>
        </w:rPr>
        <w:t xml:space="preserve"> IDH. </w:t>
      </w:r>
      <w:r w:rsidRPr="004B2806">
        <w:rPr>
          <w:rFonts w:ascii="Times New Roman" w:hAnsi="Times New Roman" w:cs="Times New Roman"/>
          <w:sz w:val="20"/>
          <w:szCs w:val="20"/>
        </w:rPr>
        <w:t>Caso del Tribunal Constitucional vs. Perú</w:t>
      </w:r>
      <w:r>
        <w:rPr>
          <w:rFonts w:ascii="Times New Roman" w:hAnsi="Times New Roman" w:cs="Times New Roman"/>
          <w:sz w:val="20"/>
          <w:szCs w:val="20"/>
        </w:rPr>
        <w:t xml:space="preserve">, op. cit. párr. 96. </w:t>
      </w:r>
    </w:p>
  </w:footnote>
  <w:footnote w:id="15">
    <w:p w:rsidR="00F75952" w:rsidRDefault="00F75952">
      <w:pPr>
        <w:pStyle w:val="FootnoteText"/>
      </w:pPr>
      <w:r>
        <w:rPr>
          <w:rStyle w:val="FootnoteReference"/>
        </w:rPr>
        <w:footnoteRef/>
      </w:r>
      <w:r>
        <w:t xml:space="preserve"> </w:t>
      </w:r>
      <w:bookmarkStart w:id="6" w:name="_Hlk26883713"/>
      <w:r w:rsidRPr="006813F2">
        <w:rPr>
          <w:rFonts w:ascii="Times New Roman" w:hAnsi="Times New Roman" w:cs="Times New Roman"/>
          <w:sz w:val="20"/>
          <w:szCs w:val="20"/>
        </w:rPr>
        <w:t xml:space="preserve">Corte IDH. </w:t>
      </w:r>
      <w:r w:rsidRPr="004B2806">
        <w:rPr>
          <w:rFonts w:ascii="Times New Roman" w:hAnsi="Times New Roman" w:cs="Times New Roman"/>
          <w:sz w:val="20"/>
          <w:szCs w:val="20"/>
        </w:rPr>
        <w:t xml:space="preserve">Caso Apitz Barbera y otros (“Corte Primera de lo Contencioso Administrativo”) </w:t>
      </w:r>
      <w:r>
        <w:rPr>
          <w:rFonts w:ascii="Times New Roman" w:hAnsi="Times New Roman" w:cs="Times New Roman"/>
          <w:sz w:val="20"/>
          <w:szCs w:val="20"/>
        </w:rPr>
        <w:t>v</w:t>
      </w:r>
      <w:r w:rsidRPr="004B2806">
        <w:rPr>
          <w:rFonts w:ascii="Times New Roman" w:hAnsi="Times New Roman" w:cs="Times New Roman"/>
          <w:sz w:val="20"/>
          <w:szCs w:val="20"/>
        </w:rPr>
        <w:t>s. Venezuela</w:t>
      </w:r>
      <w:bookmarkEnd w:id="6"/>
      <w:r w:rsidRPr="004B2806">
        <w:rPr>
          <w:rFonts w:ascii="Times New Roman" w:hAnsi="Times New Roman" w:cs="Times New Roman"/>
          <w:sz w:val="20"/>
          <w:szCs w:val="20"/>
        </w:rPr>
        <w:t>. Excepción Preliminar, Fondo, Reparaciones y Costas. Sentencia de 5 de agosto de 2008. Serie C No. 182</w:t>
      </w:r>
      <w:r>
        <w:rPr>
          <w:rFonts w:ascii="Times New Roman" w:hAnsi="Times New Roman" w:cs="Times New Roman"/>
          <w:sz w:val="20"/>
          <w:szCs w:val="20"/>
        </w:rPr>
        <w:t xml:space="preserve">. </w:t>
      </w:r>
    </w:p>
  </w:footnote>
  <w:footnote w:id="16">
    <w:p w:rsidR="00C94879" w:rsidRPr="00C94879" w:rsidRDefault="00C94879">
      <w:pPr>
        <w:pStyle w:val="FootnoteText"/>
        <w:rPr>
          <w:rFonts w:ascii="Times New Roman" w:hAnsi="Times New Roman" w:cs="Times New Roman"/>
          <w:sz w:val="20"/>
          <w:szCs w:val="20"/>
        </w:rPr>
      </w:pPr>
      <w:r w:rsidRPr="00C94879">
        <w:rPr>
          <w:rStyle w:val="FootnoteReference"/>
          <w:rFonts w:ascii="Times New Roman" w:hAnsi="Times New Roman" w:cs="Times New Roman"/>
          <w:sz w:val="20"/>
          <w:szCs w:val="20"/>
        </w:rPr>
        <w:footnoteRef/>
      </w:r>
      <w:r w:rsidRPr="00C94879">
        <w:rPr>
          <w:rFonts w:ascii="Times New Roman" w:hAnsi="Times New Roman" w:cs="Times New Roman"/>
          <w:sz w:val="20"/>
          <w:szCs w:val="20"/>
        </w:rPr>
        <w:t xml:space="preserve"> Corte IDH. Caso Apitz Barbera y otros (“Corte Primera de lo Contencioso Administrativo”) vs. Venezuela, op. cit. párr 43 y 44. </w:t>
      </w:r>
    </w:p>
  </w:footnote>
  <w:footnote w:id="17">
    <w:p w:rsidR="00004D6A" w:rsidRPr="00004D6A" w:rsidRDefault="00004D6A">
      <w:pPr>
        <w:pStyle w:val="FootnoteText"/>
        <w:rPr>
          <w:rFonts w:ascii="Times New Roman" w:hAnsi="Times New Roman" w:cs="Times New Roman"/>
          <w:sz w:val="20"/>
          <w:szCs w:val="20"/>
        </w:rPr>
      </w:pPr>
      <w:r w:rsidRPr="00004D6A">
        <w:rPr>
          <w:rStyle w:val="FootnoteReference"/>
          <w:rFonts w:ascii="Times New Roman" w:hAnsi="Times New Roman" w:cs="Times New Roman"/>
          <w:sz w:val="20"/>
          <w:szCs w:val="20"/>
        </w:rPr>
        <w:footnoteRef/>
      </w:r>
      <w:r w:rsidRPr="00004D6A">
        <w:rPr>
          <w:rFonts w:ascii="Times New Roman" w:hAnsi="Times New Roman" w:cs="Times New Roman"/>
          <w:sz w:val="20"/>
          <w:szCs w:val="20"/>
        </w:rPr>
        <w:t xml:space="preserve"> Nieto, Alejandro. “El desgobierno de lo público”-España. 2008- p. 316. </w:t>
      </w:r>
    </w:p>
  </w:footnote>
  <w:footnote w:id="18">
    <w:p w:rsidR="00004D6A" w:rsidRPr="00004D6A" w:rsidRDefault="00004D6A">
      <w:pPr>
        <w:pStyle w:val="FootnoteText"/>
        <w:rPr>
          <w:rFonts w:ascii="Times New Roman" w:hAnsi="Times New Roman" w:cs="Times New Roman"/>
          <w:sz w:val="20"/>
          <w:szCs w:val="20"/>
        </w:rPr>
      </w:pPr>
      <w:r w:rsidRPr="00004D6A">
        <w:rPr>
          <w:rStyle w:val="FootnoteReference"/>
          <w:rFonts w:ascii="Times New Roman" w:hAnsi="Times New Roman" w:cs="Times New Roman"/>
          <w:sz w:val="20"/>
          <w:szCs w:val="20"/>
        </w:rPr>
        <w:footnoteRef/>
      </w:r>
      <w:r w:rsidRPr="00004D6A">
        <w:rPr>
          <w:rFonts w:ascii="Times New Roman" w:hAnsi="Times New Roman" w:cs="Times New Roman"/>
          <w:sz w:val="20"/>
          <w:szCs w:val="20"/>
        </w:rPr>
        <w:t xml:space="preserve"> Nieto, Alejandro. “La “nueva” organización del desgobierno”-España. 1997, p.188.</w:t>
      </w:r>
    </w:p>
  </w:footnote>
  <w:footnote w:id="19">
    <w:p w:rsidR="00004D6A" w:rsidRDefault="00004D6A">
      <w:pPr>
        <w:pStyle w:val="FootnoteText"/>
      </w:pPr>
      <w:r w:rsidRPr="00004D6A">
        <w:rPr>
          <w:rStyle w:val="FootnoteReference"/>
          <w:rFonts w:ascii="Times New Roman" w:hAnsi="Times New Roman" w:cs="Times New Roman"/>
          <w:sz w:val="20"/>
          <w:szCs w:val="20"/>
        </w:rPr>
        <w:footnoteRef/>
      </w:r>
      <w:r w:rsidRPr="00004D6A">
        <w:rPr>
          <w:rFonts w:ascii="Times New Roman" w:hAnsi="Times New Roman" w:cs="Times New Roman"/>
          <w:sz w:val="20"/>
          <w:szCs w:val="20"/>
        </w:rPr>
        <w:t xml:space="preserve"> Nieto, Alejandro. op. cit. 2008-p. 315.</w:t>
      </w:r>
      <w:r>
        <w:rPr>
          <w:rFonts w:ascii="Times New Roman" w:hAnsi="Times New Roman" w:cs="Times New Roman"/>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090" w:rsidRDefault="00A550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2515" w:rsidRPr="00322515" w:rsidRDefault="00322515" w:rsidP="00322515">
    <w:pPr>
      <w:tabs>
        <w:tab w:val="center" w:pos="4252"/>
        <w:tab w:val="left" w:pos="7513"/>
        <w:tab w:val="left" w:pos="7655"/>
      </w:tabs>
      <w:jc w:val="center"/>
      <w:rPr>
        <w:rFonts w:ascii="Century Gothic" w:eastAsia="MS Mincho" w:hAnsi="Century Gothic" w:cs="Times New Roman"/>
        <w:b/>
        <w:sz w:val="18"/>
        <w:szCs w:val="21"/>
        <w:lang w:val="es-ES_tradnl" w:eastAsia="ja-JP"/>
      </w:rPr>
    </w:pPr>
    <w:r w:rsidRPr="00322515">
      <w:rPr>
        <w:rFonts w:ascii="Zapfino" w:eastAsia="MS Mincho" w:hAnsi="Zapfino" w:cs="Times New Roman"/>
        <w:b/>
        <w:sz w:val="16"/>
        <w:szCs w:val="21"/>
        <w:lang w:val="es-ES_tradnl" w:eastAsia="ja-JP"/>
      </w:rPr>
      <w:t>Revista IUS Doctrina</w:t>
    </w:r>
    <w:r w:rsidRPr="00322515">
      <w:rPr>
        <w:rFonts w:ascii="American Typewriter" w:eastAsia="MS Mincho" w:hAnsi="American Typewriter" w:cs="Times New Roman"/>
        <w:b/>
        <w:sz w:val="16"/>
        <w:szCs w:val="21"/>
        <w:lang w:val="es-ES_tradnl" w:eastAsia="ja-JP"/>
      </w:rPr>
      <w:t xml:space="preserve"> </w:t>
    </w:r>
    <w:r w:rsidRPr="00322515">
      <w:rPr>
        <w:rFonts w:ascii="American Typewriter" w:eastAsia="MS Mincho" w:hAnsi="American Typewriter" w:cs="Times New Roman"/>
        <w:b/>
        <w:sz w:val="24"/>
        <w:szCs w:val="21"/>
        <w:lang w:val="es-ES_tradnl" w:eastAsia="ja-JP"/>
      </w:rPr>
      <w:t xml:space="preserve"> </w:t>
    </w:r>
  </w:p>
  <w:p w:rsidR="00322515" w:rsidRPr="00322515" w:rsidRDefault="00322515" w:rsidP="00322515">
    <w:pPr>
      <w:tabs>
        <w:tab w:val="center" w:pos="4252"/>
        <w:tab w:val="left" w:pos="7513"/>
        <w:tab w:val="left" w:pos="7655"/>
      </w:tabs>
      <w:jc w:val="center"/>
      <w:rPr>
        <w:rFonts w:ascii="American Typewriter" w:eastAsia="MS Mincho" w:hAnsi="American Typewriter" w:cs="Times New Roman"/>
        <w:b/>
        <w:sz w:val="18"/>
        <w:szCs w:val="21"/>
        <w:lang w:val="es-ES_tradnl" w:eastAsia="ja-JP"/>
      </w:rPr>
    </w:pPr>
    <w:r w:rsidRPr="00322515">
      <w:rPr>
        <w:rFonts w:ascii="Century Gothic" w:eastAsia="MS Mincho" w:hAnsi="Century Gothic" w:cs="Times New Roman"/>
        <w:b/>
        <w:sz w:val="18"/>
        <w:szCs w:val="21"/>
        <w:lang w:val="es-ES_tradnl" w:eastAsia="ja-JP"/>
      </w:rPr>
      <w:t>Vol. 12  No. 2, diciembre-mayo 2019</w:t>
    </w:r>
    <w:r w:rsidRPr="00322515">
      <w:rPr>
        <w:rFonts w:ascii="Century Gothic" w:eastAsia="MS Mincho" w:hAnsi="Century Gothic" w:cs="Times New Roman"/>
        <w:b/>
        <w:sz w:val="18"/>
        <w:szCs w:val="21"/>
        <w:lang w:val="es-ES_tradnl" w:eastAsia="ja-JP"/>
      </w:rPr>
      <w:tab/>
      <w:t>ISSN-1659-3707</w:t>
    </w:r>
  </w:p>
  <w:p w:rsidR="00322515" w:rsidRPr="00322515" w:rsidRDefault="009B08F5" w:rsidP="00322515">
    <w:pPr>
      <w:tabs>
        <w:tab w:val="center" w:pos="4419"/>
        <w:tab w:val="right" w:pos="8838"/>
      </w:tabs>
      <w:jc w:val="center"/>
      <w:rPr>
        <w:rFonts w:ascii="Cambria" w:eastAsia="MS Mincho" w:hAnsi="Cambria" w:cs="Times New Roman"/>
        <w:sz w:val="24"/>
        <w:szCs w:val="24"/>
        <w:lang w:val="es-ES_tradnl" w:eastAsia="es-ES"/>
      </w:rPr>
    </w:pPr>
    <w:hyperlink r:id="rId1" w:history="1">
      <w:r w:rsidR="00322515" w:rsidRPr="00322515">
        <w:rPr>
          <w:rFonts w:ascii="Century Gothic" w:eastAsia="MS Mincho" w:hAnsi="Century Gothic" w:cs="Times New Roman"/>
          <w:b/>
          <w:color w:val="0000FF"/>
          <w:sz w:val="18"/>
          <w:szCs w:val="21"/>
          <w:u w:val="single"/>
          <w:lang w:val="es-ES_tradnl" w:eastAsia="ja-JP"/>
        </w:rPr>
        <w:t>http://revistas.ucr.ac.cr/index.php/iusdoctrina</w:t>
      </w:r>
    </w:hyperlink>
  </w:p>
  <w:p w:rsidR="00A55090" w:rsidRPr="00322515" w:rsidRDefault="00A55090" w:rsidP="00A55090">
    <w:pPr>
      <w:pStyle w:val="Header"/>
      <w:jc w:val="center"/>
      <w:rPr>
        <w:rFonts w:ascii="Century Gothic" w:eastAsia="MS Mincho" w:hAnsi="Century Gothic"/>
        <w:b/>
        <w:color w:val="0000FF"/>
        <w:sz w:val="18"/>
        <w:szCs w:val="21"/>
        <w:u w:val="single"/>
        <w:lang w:val="es-ES_tradnl" w:eastAsia="ja-JP"/>
      </w:rPr>
    </w:pPr>
  </w:p>
  <w:p w:rsidR="00A55090" w:rsidRDefault="00A55090" w:rsidP="00A55090">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090" w:rsidRDefault="00A550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F6B66"/>
    <w:multiLevelType w:val="hybridMultilevel"/>
    <w:tmpl w:val="6A6E934C"/>
    <w:lvl w:ilvl="0" w:tplc="6D5CE7FA">
      <w:start w:val="1"/>
      <w:numFmt w:val="decimal"/>
      <w:pStyle w:val="PrrafodeSentencia"/>
      <w:lvlText w:val="%1."/>
      <w:lvlJc w:val="left"/>
      <w:pPr>
        <w:ind w:left="5130" w:hanging="360"/>
      </w:pPr>
      <w:rPr>
        <w:b w:val="0"/>
        <w:i w:val="0"/>
        <w:strike w:val="0"/>
        <w:dstrike w:val="0"/>
        <w:color w:val="auto"/>
        <w:sz w:val="20"/>
        <w:szCs w:val="20"/>
        <w:u w:val="none"/>
        <w:effect w:val="none"/>
        <w:vertAlign w:val="baseline"/>
        <w:lang w:val="es-CR"/>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9B4"/>
    <w:rsid w:val="00004D6A"/>
    <w:rsid w:val="00023318"/>
    <w:rsid w:val="00042622"/>
    <w:rsid w:val="00084ACF"/>
    <w:rsid w:val="001A4DC9"/>
    <w:rsid w:val="001A6F82"/>
    <w:rsid w:val="00206ECF"/>
    <w:rsid w:val="002C0640"/>
    <w:rsid w:val="002D669C"/>
    <w:rsid w:val="00311CB4"/>
    <w:rsid w:val="00322515"/>
    <w:rsid w:val="00490D86"/>
    <w:rsid w:val="004B2806"/>
    <w:rsid w:val="004F6864"/>
    <w:rsid w:val="005457AB"/>
    <w:rsid w:val="00555157"/>
    <w:rsid w:val="005D5595"/>
    <w:rsid w:val="005F6EB1"/>
    <w:rsid w:val="006813F2"/>
    <w:rsid w:val="006E05EB"/>
    <w:rsid w:val="006E1C18"/>
    <w:rsid w:val="006E7AF7"/>
    <w:rsid w:val="007849E4"/>
    <w:rsid w:val="007F1B55"/>
    <w:rsid w:val="00823C3E"/>
    <w:rsid w:val="008C6721"/>
    <w:rsid w:val="008E540A"/>
    <w:rsid w:val="009078A2"/>
    <w:rsid w:val="0091010E"/>
    <w:rsid w:val="00915443"/>
    <w:rsid w:val="00917F0B"/>
    <w:rsid w:val="009256D1"/>
    <w:rsid w:val="00993EE4"/>
    <w:rsid w:val="009B08F5"/>
    <w:rsid w:val="00A40089"/>
    <w:rsid w:val="00A55090"/>
    <w:rsid w:val="00AB2560"/>
    <w:rsid w:val="00AB3E52"/>
    <w:rsid w:val="00AC7124"/>
    <w:rsid w:val="00B06254"/>
    <w:rsid w:val="00BD2D05"/>
    <w:rsid w:val="00C56CC4"/>
    <w:rsid w:val="00C94879"/>
    <w:rsid w:val="00D53CE7"/>
    <w:rsid w:val="00E10111"/>
    <w:rsid w:val="00E10C89"/>
    <w:rsid w:val="00E23EFF"/>
    <w:rsid w:val="00F57DEF"/>
    <w:rsid w:val="00F659B4"/>
    <w:rsid w:val="00F7595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D767"/>
  <w15:chartTrackingRefBased/>
  <w15:docId w15:val="{BFEF18FA-F8D6-4E02-A5EC-C7EAC09FC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59B4"/>
    <w:pPr>
      <w:spacing w:after="0" w:line="240" w:lineRule="auto"/>
    </w:pPr>
    <w:rPr>
      <w:rFonts w:ascii="Calibri" w:hAnsi="Calibri" w:cs="Calibri"/>
      <w:lang w:eastAsia="es-C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FA Fu Char,Footnote Text Char Char Char Char Char Char,Footnote Text Char Char Char Char Char1,Footnote reference Char,Footnote Text Char Char Char Char1,FA Fu Car Char,FA Fu Car Car Char,Footnote Text Cha Char,FA Fußnotentext Char"/>
    <w:basedOn w:val="DefaultParagraphFont"/>
    <w:link w:val="FootnoteText"/>
    <w:uiPriority w:val="99"/>
    <w:locked/>
    <w:rsid w:val="00F659B4"/>
    <w:rPr>
      <w:rFonts w:ascii="Calibri" w:hAnsi="Calibri" w:cs="Calibri"/>
    </w:rPr>
  </w:style>
  <w:style w:type="paragraph" w:styleId="FootnoteText">
    <w:name w:val="footnote text"/>
    <w:aliases w:val="FA Fu,Footnote Text Char Char Char Char Char,Footnote Text Char Char Char Char,Footnote reference,Footnote Text Char Char Char,FA Fu Car,FA Fu Car Car,Footnote Text Cha,FA Fußnotentext,FA Fuﬂnotentext,FA Fu?notentext,Ca"/>
    <w:basedOn w:val="Normal"/>
    <w:link w:val="FootnoteTextChar"/>
    <w:uiPriority w:val="99"/>
    <w:unhideWhenUsed/>
    <w:rsid w:val="00F659B4"/>
    <w:rPr>
      <w:lang w:eastAsia="en-US"/>
    </w:rPr>
  </w:style>
  <w:style w:type="character" w:customStyle="1" w:styleId="TextonotapieCar1">
    <w:name w:val="Texto nota pie Car1"/>
    <w:basedOn w:val="DefaultParagraphFont"/>
    <w:uiPriority w:val="99"/>
    <w:semiHidden/>
    <w:rsid w:val="00F659B4"/>
    <w:rPr>
      <w:rFonts w:ascii="Calibri" w:hAnsi="Calibri" w:cs="Calibri"/>
      <w:sz w:val="20"/>
      <w:szCs w:val="20"/>
      <w:lang w:eastAsia="es-CR"/>
    </w:rPr>
  </w:style>
  <w:style w:type="character" w:customStyle="1" w:styleId="PrrafodeSentenciaChar">
    <w:name w:val="*. Párrafo de Sentencia Char"/>
    <w:basedOn w:val="DefaultParagraphFont"/>
    <w:link w:val="PrrafodeSentencia"/>
    <w:locked/>
    <w:rsid w:val="00F659B4"/>
    <w:rPr>
      <w:rFonts w:ascii="Verdana" w:hAnsi="Verdana"/>
      <w:spacing w:val="-4"/>
      <w:lang w:eastAsia="es-MX"/>
    </w:rPr>
  </w:style>
  <w:style w:type="paragraph" w:customStyle="1" w:styleId="PrrafodeSentencia">
    <w:name w:val="*. Párrafo de Sentencia"/>
    <w:basedOn w:val="Normal"/>
    <w:link w:val="PrrafodeSentenciaChar"/>
    <w:rsid w:val="00F659B4"/>
    <w:pPr>
      <w:numPr>
        <w:numId w:val="1"/>
      </w:numPr>
      <w:ind w:left="0" w:firstLine="0"/>
      <w:jc w:val="both"/>
    </w:pPr>
    <w:rPr>
      <w:rFonts w:ascii="Verdana" w:hAnsi="Verdana" w:cstheme="minorBidi"/>
      <w:spacing w:val="-4"/>
      <w:lang w:eastAsia="es-MX"/>
    </w:rPr>
  </w:style>
  <w:style w:type="character" w:styleId="FootnoteReference">
    <w:name w:val="footnote reference"/>
    <w:aliases w:val="Texto de nota al pie,Appel note de bas de page,Footnotes refss,Footnote number,referencia nota al pie,BVI fnr,f,4_G,16 Point,Superscript 6 Point,Footnote Reference Char3,Footnote Reference Char1 Char,Footnote Reference Char Char Char"/>
    <w:basedOn w:val="DefaultParagraphFont"/>
    <w:uiPriority w:val="99"/>
    <w:semiHidden/>
    <w:unhideWhenUsed/>
    <w:rsid w:val="00F659B4"/>
    <w:rPr>
      <w:vertAlign w:val="superscript"/>
    </w:rPr>
  </w:style>
  <w:style w:type="paragraph" w:styleId="BalloonText">
    <w:name w:val="Balloon Text"/>
    <w:basedOn w:val="Normal"/>
    <w:link w:val="BalloonTextChar"/>
    <w:uiPriority w:val="99"/>
    <w:semiHidden/>
    <w:unhideWhenUsed/>
    <w:rsid w:val="009256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6D1"/>
    <w:rPr>
      <w:rFonts w:ascii="Segoe UI" w:hAnsi="Segoe UI" w:cs="Segoe UI"/>
      <w:sz w:val="18"/>
      <w:szCs w:val="18"/>
      <w:lang w:eastAsia="es-CR"/>
    </w:rPr>
  </w:style>
  <w:style w:type="paragraph" w:styleId="EndnoteText">
    <w:name w:val="endnote text"/>
    <w:basedOn w:val="Normal"/>
    <w:link w:val="EndnoteTextChar"/>
    <w:uiPriority w:val="99"/>
    <w:semiHidden/>
    <w:unhideWhenUsed/>
    <w:rsid w:val="00E10C89"/>
    <w:rPr>
      <w:sz w:val="20"/>
      <w:szCs w:val="20"/>
    </w:rPr>
  </w:style>
  <w:style w:type="character" w:customStyle="1" w:styleId="EndnoteTextChar">
    <w:name w:val="Endnote Text Char"/>
    <w:basedOn w:val="DefaultParagraphFont"/>
    <w:link w:val="EndnoteText"/>
    <w:uiPriority w:val="99"/>
    <w:semiHidden/>
    <w:rsid w:val="00E10C89"/>
    <w:rPr>
      <w:rFonts w:ascii="Calibri" w:hAnsi="Calibri" w:cs="Calibri"/>
      <w:sz w:val="20"/>
      <w:szCs w:val="20"/>
      <w:lang w:eastAsia="es-CR"/>
    </w:rPr>
  </w:style>
  <w:style w:type="character" w:styleId="EndnoteReference">
    <w:name w:val="endnote reference"/>
    <w:basedOn w:val="DefaultParagraphFont"/>
    <w:uiPriority w:val="99"/>
    <w:semiHidden/>
    <w:unhideWhenUsed/>
    <w:rsid w:val="00E10C89"/>
    <w:rPr>
      <w:vertAlign w:val="superscript"/>
    </w:rPr>
  </w:style>
  <w:style w:type="paragraph" w:styleId="Header">
    <w:name w:val="header"/>
    <w:basedOn w:val="Normal"/>
    <w:link w:val="HeaderChar"/>
    <w:uiPriority w:val="99"/>
    <w:unhideWhenUsed/>
    <w:rsid w:val="00A55090"/>
    <w:pPr>
      <w:tabs>
        <w:tab w:val="center" w:pos="4419"/>
        <w:tab w:val="right" w:pos="8838"/>
      </w:tabs>
    </w:pPr>
  </w:style>
  <w:style w:type="character" w:customStyle="1" w:styleId="HeaderChar">
    <w:name w:val="Header Char"/>
    <w:basedOn w:val="DefaultParagraphFont"/>
    <w:link w:val="Header"/>
    <w:uiPriority w:val="99"/>
    <w:rsid w:val="00A55090"/>
    <w:rPr>
      <w:rFonts w:ascii="Calibri" w:hAnsi="Calibri" w:cs="Calibri"/>
      <w:lang w:eastAsia="es-CR"/>
    </w:rPr>
  </w:style>
  <w:style w:type="paragraph" w:styleId="Footer">
    <w:name w:val="footer"/>
    <w:basedOn w:val="Normal"/>
    <w:link w:val="FooterChar"/>
    <w:uiPriority w:val="99"/>
    <w:unhideWhenUsed/>
    <w:rsid w:val="00A55090"/>
    <w:pPr>
      <w:tabs>
        <w:tab w:val="center" w:pos="4419"/>
        <w:tab w:val="right" w:pos="8838"/>
      </w:tabs>
    </w:pPr>
  </w:style>
  <w:style w:type="character" w:customStyle="1" w:styleId="FooterChar">
    <w:name w:val="Footer Char"/>
    <w:basedOn w:val="DefaultParagraphFont"/>
    <w:link w:val="Footer"/>
    <w:uiPriority w:val="99"/>
    <w:rsid w:val="00A55090"/>
    <w:rPr>
      <w:rFonts w:ascii="Calibri" w:hAnsi="Calibri" w:cs="Calibri"/>
      <w:lang w:eastAsia="es-CR"/>
    </w:rPr>
  </w:style>
  <w:style w:type="paragraph" w:customStyle="1" w:styleId="listamulticolor-nfasis11">
    <w:name w:val="listamulticolor-nfasis11"/>
    <w:basedOn w:val="Normal"/>
    <w:rsid w:val="00A55090"/>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550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299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nc-nd/4.0/deed.es"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revistas.ucr.ac.cr/index.php/iusdoctrin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04E8C-0C79-C544-A538-A1630AEEC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29</Pages>
  <Words>7349</Words>
  <Characters>41890</Characters>
  <Application>Microsoft Office Word</Application>
  <DocSecurity>0</DocSecurity>
  <Lines>349</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Haideer Miranda Bonilla</dc:creator>
  <cp:keywords/>
  <dc:description/>
  <cp:lastModifiedBy>Agustín Gutiérrez Carro</cp:lastModifiedBy>
  <cp:revision>14</cp:revision>
  <cp:lastPrinted>2019-12-10T17:53:00Z</cp:lastPrinted>
  <dcterms:created xsi:type="dcterms:W3CDTF">2019-12-18T20:56:00Z</dcterms:created>
  <dcterms:modified xsi:type="dcterms:W3CDTF">2020-06-17T00:39:00Z</dcterms:modified>
</cp:coreProperties>
</file>