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CE" w:rsidRDefault="00162561">
      <w:pPr>
        <w:tabs>
          <w:tab w:val="left" w:pos="2385"/>
        </w:tabs>
        <w:spacing w:before="120"/>
        <w:ind w:right="288"/>
      </w:pPr>
      <w:r>
        <w:rPr>
          <w:b/>
        </w:rPr>
        <w:t xml:space="preserve">Supplementary data 1. </w:t>
      </w:r>
      <w:r>
        <w:t xml:space="preserve">Abiotic variables measured during the study. </w:t>
      </w:r>
    </w:p>
    <w:p w:rsidR="00162561" w:rsidRPr="00162561" w:rsidRDefault="00162561">
      <w:pPr>
        <w:tabs>
          <w:tab w:val="left" w:pos="2385"/>
        </w:tabs>
        <w:spacing w:before="120"/>
        <w:ind w:right="288"/>
        <w:rPr>
          <w:b/>
          <w:lang w:val="es-ES"/>
        </w:rPr>
      </w:pPr>
      <w:r w:rsidRPr="00162561">
        <w:rPr>
          <w:lang w:val="es-ES"/>
        </w:rPr>
        <w:t>Datos suplementarios 1. Variables abióticas medidas durante el estudio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905"/>
        <w:gridCol w:w="579"/>
        <w:gridCol w:w="566"/>
        <w:gridCol w:w="588"/>
        <w:gridCol w:w="589"/>
        <w:gridCol w:w="590"/>
        <w:gridCol w:w="589"/>
        <w:gridCol w:w="586"/>
        <w:gridCol w:w="579"/>
        <w:gridCol w:w="590"/>
        <w:gridCol w:w="588"/>
        <w:gridCol w:w="585"/>
        <w:gridCol w:w="594"/>
        <w:gridCol w:w="590"/>
        <w:gridCol w:w="591"/>
        <w:gridCol w:w="589"/>
        <w:gridCol w:w="591"/>
        <w:gridCol w:w="590"/>
        <w:gridCol w:w="591"/>
        <w:gridCol w:w="583"/>
        <w:gridCol w:w="579"/>
        <w:gridCol w:w="590"/>
      </w:tblGrid>
      <w:tr w:rsidR="001907CE">
        <w:trPr>
          <w:trHeight w:val="276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Pr="00162561" w:rsidRDefault="001907CE">
            <w:pPr>
              <w:tabs>
                <w:tab w:val="left" w:pos="2385"/>
              </w:tabs>
              <w:spacing w:after="0" w:line="276" w:lineRule="auto"/>
              <w:ind w:right="288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0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tabs>
                <w:tab w:val="left" w:pos="2385"/>
              </w:tabs>
              <w:spacing w:after="0" w:line="276" w:lineRule="auto"/>
              <w:ind w:right="288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06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tabs>
                <w:tab w:val="left" w:pos="2385"/>
              </w:tabs>
              <w:spacing w:after="0" w:line="276" w:lineRule="auto"/>
              <w:ind w:right="288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tabs>
                <w:tab w:val="left" w:pos="2385"/>
              </w:tabs>
              <w:spacing w:after="0" w:line="276" w:lineRule="auto"/>
              <w:ind w:right="288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</w:t>
            </w:r>
          </w:p>
        </w:tc>
      </w:tr>
      <w:tr w:rsidR="001907CE">
        <w:trPr>
          <w:trHeight w:val="276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</w:t>
            </w:r>
          </w:p>
        </w:tc>
      </w:tr>
      <w:tr w:rsidR="001907CE">
        <w:trPr>
          <w:trHeight w:val="276"/>
        </w:trPr>
        <w:tc>
          <w:tcPr>
            <w:tcW w:w="905" w:type="dxa"/>
            <w:tcBorders>
              <w:top w:val="single" w:sz="4" w:space="0" w:color="auto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</w:t>
            </w:r>
          </w:p>
        </w:tc>
        <w:tc>
          <w:tcPr>
            <w:tcW w:w="588" w:type="dxa"/>
            <w:tcBorders>
              <w:top w:val="single" w:sz="4" w:space="0" w:color="auto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586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</w:p>
        </w:tc>
        <w:tc>
          <w:tcPr>
            <w:tcW w:w="588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</w:p>
        </w:tc>
        <w:tc>
          <w:tcPr>
            <w:tcW w:w="585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</w:t>
            </w:r>
          </w:p>
        </w:tc>
        <w:tc>
          <w:tcPr>
            <w:tcW w:w="594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</w:t>
            </w:r>
          </w:p>
        </w:tc>
        <w:tc>
          <w:tcPr>
            <w:tcW w:w="591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  <w:tc>
          <w:tcPr>
            <w:tcW w:w="591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</w:t>
            </w:r>
          </w:p>
        </w:tc>
        <w:tc>
          <w:tcPr>
            <w:tcW w:w="591" w:type="dxa"/>
            <w:tcBorders>
              <w:top w:val="single" w:sz="4" w:space="0" w:color="auto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</w:t>
            </w:r>
          </w:p>
        </w:tc>
        <w:tc>
          <w:tcPr>
            <w:tcW w:w="583" w:type="dxa"/>
            <w:tcBorders>
              <w:top w:val="single" w:sz="4" w:space="0" w:color="auto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  <w:tc>
          <w:tcPr>
            <w:tcW w:w="579" w:type="dxa"/>
            <w:tcBorders>
              <w:top w:val="single" w:sz="4" w:space="0" w:color="auto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</w:tr>
      <w:tr w:rsidR="001907CE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S/C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74.6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81.8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83.7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</w:t>
            </w: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76.7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83.0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67.7</w:t>
            </w:r>
          </w:p>
        </w:tc>
        <w:tc>
          <w:tcPr>
            <w:tcW w:w="585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</w:t>
            </w:r>
          </w:p>
        </w:tc>
        <w:tc>
          <w:tcPr>
            <w:tcW w:w="594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77.5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73.9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77.4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83.2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76.7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80.3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91.1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</w:tr>
      <w:tr w:rsidR="001907CE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 a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586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85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94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bottom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1907CE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&lt;7.3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&lt;4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&lt;3.8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&lt;4.1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585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594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&lt;4.6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&lt;1.8</w:t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&lt;4.1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&lt;1.7</w:t>
            </w:r>
          </w:p>
        </w:tc>
        <w:tc>
          <w:tcPr>
            <w:tcW w:w="583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&lt;3.5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</w:tr>
      <w:tr w:rsidR="001907CE">
        <w:trPr>
          <w:trHeight w:val="276"/>
        </w:trPr>
        <w:tc>
          <w:tcPr>
            <w:tcW w:w="905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N-NO</w:t>
            </w:r>
            <w:r>
              <w:rPr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88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590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6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590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8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5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4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1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1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1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3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tcBorders>
              <w:top w:val="nil"/>
            </w:tcBorders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  <w:tr w:rsidR="001907CE">
        <w:trPr>
          <w:trHeight w:val="276"/>
        </w:trPr>
        <w:tc>
          <w:tcPr>
            <w:tcW w:w="905" w:type="dxa"/>
            <w:vAlign w:val="center"/>
          </w:tcPr>
          <w:p w:rsidR="001907CE" w:rsidRDefault="00162561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N-NO</w:t>
            </w:r>
            <w:r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66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8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6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588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5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4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83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</w:t>
            </w:r>
          </w:p>
        </w:tc>
      </w:tr>
      <w:tr w:rsidR="001907CE">
        <w:trPr>
          <w:trHeight w:val="276"/>
        </w:trPr>
        <w:tc>
          <w:tcPr>
            <w:tcW w:w="905" w:type="dxa"/>
            <w:vAlign w:val="center"/>
          </w:tcPr>
          <w:p w:rsidR="001907CE" w:rsidRDefault="00162561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N-NH</w:t>
            </w:r>
            <w:r>
              <w:rPr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66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8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6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8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5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4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3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nm</w:t>
            </w:r>
          </w:p>
        </w:tc>
      </w:tr>
      <w:tr w:rsidR="001907CE">
        <w:trPr>
          <w:trHeight w:val="276"/>
        </w:trPr>
        <w:tc>
          <w:tcPr>
            <w:tcW w:w="905" w:type="dxa"/>
            <w:vAlign w:val="center"/>
          </w:tcPr>
          <w:p w:rsidR="001907CE" w:rsidRDefault="00162561">
            <w:pPr>
              <w:spacing w:after="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P-PO</w:t>
            </w:r>
            <w:r>
              <w:rPr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66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88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586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8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5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4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8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591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583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579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90" w:type="dxa"/>
            <w:vAlign w:val="center"/>
          </w:tcPr>
          <w:p w:rsidR="001907CE" w:rsidRDefault="00162561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</w:tbl>
    <w:p w:rsidR="001907CE" w:rsidRDefault="001907CE"/>
    <w:p w:rsidR="001907CE" w:rsidRDefault="00162561">
      <w:r>
        <w:t>Asterisks represent the values below quantification limits (QL) of the analytical procedure used. QL from June 2010 to April 2011 were N-NO</w:t>
      </w:r>
      <w:r>
        <w:rPr>
          <w:vertAlign w:val="subscript"/>
        </w:rPr>
        <w:t>3</w:t>
      </w:r>
      <w:r>
        <w:t>: 0.4 µM; N-NO</w:t>
      </w:r>
      <w:r>
        <w:rPr>
          <w:vertAlign w:val="subscript"/>
        </w:rPr>
        <w:t>2</w:t>
      </w:r>
      <w:r>
        <w:t>: 0.07 µM; N-NH</w:t>
      </w:r>
      <w:r>
        <w:rPr>
          <w:vertAlign w:val="subscript"/>
        </w:rPr>
        <w:t>4</w:t>
      </w:r>
      <w:r>
        <w:t>: 3.2 µM; and P-PO</w:t>
      </w:r>
      <w:r>
        <w:rPr>
          <w:vertAlign w:val="subscript"/>
        </w:rPr>
        <w:t>4</w:t>
      </w:r>
      <w:r>
        <w:t>: 0.5 µM. QL from May 20</w:t>
      </w:r>
      <w:r>
        <w:t>11 to February 2012 were N-NO</w:t>
      </w:r>
      <w:r>
        <w:rPr>
          <w:vertAlign w:val="subscript"/>
        </w:rPr>
        <w:t>3</w:t>
      </w:r>
      <w:r>
        <w:t>: 0.1 µM; N-NO</w:t>
      </w:r>
      <w:r>
        <w:rPr>
          <w:vertAlign w:val="subscript"/>
        </w:rPr>
        <w:t>2</w:t>
      </w:r>
      <w:r>
        <w:t>: 0.01 µM; N-NH</w:t>
      </w:r>
      <w:r>
        <w:rPr>
          <w:vertAlign w:val="subscript"/>
        </w:rPr>
        <w:t>4</w:t>
      </w:r>
      <w:r>
        <w:t>: 0.6 µM; and P-PO</w:t>
      </w:r>
      <w:r>
        <w:rPr>
          <w:vertAlign w:val="subscript"/>
        </w:rPr>
        <w:t>4</w:t>
      </w:r>
      <w:r>
        <w:t>: 0.1 µM. nm: not measure. TOM: Total organic matter, GS: Grain size, Chlorophyll a: Chl</w:t>
      </w:r>
      <w:bookmarkStart w:id="0" w:name="_GoBack"/>
      <w:bookmarkEnd w:id="0"/>
      <w:r>
        <w:t xml:space="preserve"> a, DIN: Dissolved inorganic nitrogen.</w:t>
      </w:r>
    </w:p>
    <w:p w:rsidR="00162561" w:rsidRPr="00162561" w:rsidRDefault="00162561" w:rsidP="00162561">
      <w:pPr>
        <w:rPr>
          <w:lang w:val="es-ES"/>
        </w:rPr>
      </w:pPr>
      <w:r w:rsidRPr="00162561">
        <w:rPr>
          <w:lang w:val="es-ES"/>
        </w:rPr>
        <w:t>Los asteriscos representan valores por debajo de los l</w:t>
      </w:r>
      <w:r>
        <w:rPr>
          <w:lang w:val="es-ES"/>
        </w:rPr>
        <w:t xml:space="preserve">ímites de cuantificación (LC) de los procedimientos analíticos utilizados. LC desde junio de 2010 hasta abril de 2011 fueron </w:t>
      </w:r>
      <w:r w:rsidRPr="00162561">
        <w:rPr>
          <w:lang w:val="es-ES"/>
        </w:rPr>
        <w:t>N-NO</w:t>
      </w:r>
      <w:r w:rsidRPr="00162561">
        <w:rPr>
          <w:vertAlign w:val="subscript"/>
          <w:lang w:val="es-ES"/>
        </w:rPr>
        <w:t>3</w:t>
      </w:r>
      <w:r w:rsidRPr="00162561">
        <w:rPr>
          <w:lang w:val="es-ES"/>
        </w:rPr>
        <w:t>: 0.4 µM; N-NO</w:t>
      </w:r>
      <w:r w:rsidRPr="00162561">
        <w:rPr>
          <w:vertAlign w:val="subscript"/>
          <w:lang w:val="es-ES"/>
        </w:rPr>
        <w:t>2</w:t>
      </w:r>
      <w:r w:rsidRPr="00162561">
        <w:rPr>
          <w:lang w:val="es-ES"/>
        </w:rPr>
        <w:t>: 0.07 µM; N-NH</w:t>
      </w:r>
      <w:r w:rsidRPr="00162561">
        <w:rPr>
          <w:vertAlign w:val="subscript"/>
          <w:lang w:val="es-ES"/>
        </w:rPr>
        <w:t>4</w:t>
      </w:r>
      <w:r w:rsidRPr="00162561">
        <w:rPr>
          <w:lang w:val="es-ES"/>
        </w:rPr>
        <w:t>: 3.2 µM; and P-PO</w:t>
      </w:r>
      <w:r w:rsidRPr="00162561">
        <w:rPr>
          <w:vertAlign w:val="subscript"/>
          <w:lang w:val="es-ES"/>
        </w:rPr>
        <w:t>4</w:t>
      </w:r>
      <w:r w:rsidRPr="00162561">
        <w:rPr>
          <w:lang w:val="es-ES"/>
        </w:rPr>
        <w:t xml:space="preserve">: 0.5 µM. </w:t>
      </w:r>
      <w:r>
        <w:rPr>
          <w:lang w:val="es-ES"/>
        </w:rPr>
        <w:t xml:space="preserve">LC desde mayo de 2011 hasta febrero de 2012 fueron </w:t>
      </w:r>
      <w:r w:rsidRPr="00162561">
        <w:rPr>
          <w:lang w:val="es-ES"/>
        </w:rPr>
        <w:t>N-NO</w:t>
      </w:r>
      <w:r w:rsidRPr="00162561">
        <w:rPr>
          <w:vertAlign w:val="subscript"/>
          <w:lang w:val="es-ES"/>
        </w:rPr>
        <w:t>3</w:t>
      </w:r>
      <w:r w:rsidRPr="00162561">
        <w:rPr>
          <w:lang w:val="es-ES"/>
        </w:rPr>
        <w:t>: 0.1 µM; N-NO</w:t>
      </w:r>
      <w:r w:rsidRPr="00162561">
        <w:rPr>
          <w:vertAlign w:val="subscript"/>
          <w:lang w:val="es-ES"/>
        </w:rPr>
        <w:t>2</w:t>
      </w:r>
      <w:r w:rsidRPr="00162561">
        <w:rPr>
          <w:lang w:val="es-ES"/>
        </w:rPr>
        <w:t>: 0.01 µM; N-NH</w:t>
      </w:r>
      <w:r w:rsidRPr="00162561">
        <w:rPr>
          <w:vertAlign w:val="subscript"/>
          <w:lang w:val="es-ES"/>
        </w:rPr>
        <w:t>4</w:t>
      </w:r>
      <w:r w:rsidRPr="00162561">
        <w:rPr>
          <w:lang w:val="es-ES"/>
        </w:rPr>
        <w:t>: 0.6 µM; and P-PO</w:t>
      </w:r>
      <w:r w:rsidRPr="00162561">
        <w:rPr>
          <w:vertAlign w:val="subscript"/>
          <w:lang w:val="es-ES"/>
        </w:rPr>
        <w:t>4</w:t>
      </w:r>
      <w:r w:rsidRPr="00162561">
        <w:rPr>
          <w:lang w:val="es-ES"/>
        </w:rPr>
        <w:t>: 0.1 µM.</w:t>
      </w:r>
      <w:r>
        <w:rPr>
          <w:lang w:val="es-ES"/>
        </w:rPr>
        <w:t xml:space="preserve"> </w:t>
      </w:r>
      <w:proofErr w:type="spellStart"/>
      <w:r w:rsidRPr="00162561">
        <w:rPr>
          <w:lang w:val="es-ES"/>
        </w:rPr>
        <w:t>nm</w:t>
      </w:r>
      <w:proofErr w:type="spellEnd"/>
      <w:r w:rsidRPr="00162561">
        <w:rPr>
          <w:lang w:val="es-ES"/>
        </w:rPr>
        <w:t>: no me</w:t>
      </w:r>
      <w:r>
        <w:rPr>
          <w:lang w:val="es-ES"/>
        </w:rPr>
        <w:t>dido</w:t>
      </w:r>
      <w:r w:rsidRPr="00162561">
        <w:rPr>
          <w:lang w:val="es-ES"/>
        </w:rPr>
        <w:t>. TOM: material organic total, S/C: limo/arcilla, Chl a: Corofila</w:t>
      </w:r>
      <w:proofErr w:type="gramStart"/>
      <w:r w:rsidRPr="00162561">
        <w:rPr>
          <w:lang w:val="es-ES"/>
        </w:rPr>
        <w:t>:,</w:t>
      </w:r>
      <w:proofErr w:type="gramEnd"/>
      <w:r w:rsidRPr="00162561">
        <w:rPr>
          <w:lang w:val="es-ES"/>
        </w:rPr>
        <w:t xml:space="preserve"> DIN: nitrógeno inorganico disuelto.</w:t>
      </w:r>
    </w:p>
    <w:p w:rsidR="00162561" w:rsidRPr="00162561" w:rsidRDefault="00162561">
      <w:pPr>
        <w:rPr>
          <w:lang w:val="es-ES"/>
        </w:rPr>
      </w:pPr>
      <w:r w:rsidRPr="00162561">
        <w:rPr>
          <w:lang w:val="es-ES"/>
        </w:rPr>
        <w:t xml:space="preserve"> </w:t>
      </w:r>
    </w:p>
    <w:sectPr w:rsidR="00162561" w:rsidRPr="00162561" w:rsidSect="001907CE"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07CE"/>
    <w:rsid w:val="00162561"/>
    <w:rsid w:val="0019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7CE"/>
    <w:pPr>
      <w:widowControl w:val="0"/>
      <w:autoSpaceDE w:val="0"/>
      <w:autoSpaceDN w:val="0"/>
      <w:adjustRightInd w:val="0"/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7C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Maickel</dc:creator>
  <cp:lastModifiedBy>lisbet</cp:lastModifiedBy>
  <cp:revision>3</cp:revision>
  <dcterms:created xsi:type="dcterms:W3CDTF">2014-10-16T17:44:00Z</dcterms:created>
  <dcterms:modified xsi:type="dcterms:W3CDTF">2015-03-23T18:37:00Z</dcterms:modified>
</cp:coreProperties>
</file>