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28" w:rsidRDefault="004C5001" w:rsidP="004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001">
        <w:rPr>
          <w:rFonts w:ascii="Times New Roman" w:hAnsi="Times New Roman" w:cs="Times New Roman"/>
          <w:b/>
          <w:sz w:val="24"/>
          <w:szCs w:val="24"/>
        </w:rPr>
        <w:t>MATERIAL SUPLEMENTARIO</w:t>
      </w:r>
    </w:p>
    <w:p w:rsidR="004E2294" w:rsidRDefault="008A09F5" w:rsidP="008A0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D62">
        <w:rPr>
          <w:rFonts w:ascii="Times New Roman" w:hAnsi="Times New Roman" w:cs="Times New Roman"/>
          <w:b/>
          <w:sz w:val="24"/>
          <w:szCs w:val="24"/>
        </w:rPr>
        <w:t>Aclimatación y mantenimiento organismos de prueba</w:t>
      </w:r>
    </w:p>
    <w:p w:rsidR="008A09F5" w:rsidRDefault="008A09F5" w:rsidP="008A09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condiciones de aclimatación de </w:t>
      </w:r>
      <w:r w:rsidRPr="008A09F5">
        <w:rPr>
          <w:rFonts w:ascii="Times New Roman" w:hAnsi="Times New Roman" w:cs="Times New Roman"/>
          <w:i/>
          <w:sz w:val="24"/>
          <w:szCs w:val="24"/>
        </w:rPr>
        <w:t>D. magna</w:t>
      </w:r>
      <w:r w:rsidR="00994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8A09F5">
        <w:rPr>
          <w:rFonts w:ascii="Times New Roman" w:hAnsi="Times New Roman" w:cs="Times New Roman"/>
          <w:i/>
          <w:sz w:val="24"/>
          <w:szCs w:val="24"/>
        </w:rPr>
        <w:t xml:space="preserve">H. </w:t>
      </w:r>
      <w:proofErr w:type="spellStart"/>
      <w:r w:rsidRPr="008A09F5">
        <w:rPr>
          <w:rFonts w:ascii="Times New Roman" w:hAnsi="Times New Roman" w:cs="Times New Roman"/>
          <w:i/>
          <w:sz w:val="24"/>
          <w:szCs w:val="24"/>
        </w:rPr>
        <w:t>attenuatta</w:t>
      </w:r>
      <w:proofErr w:type="spellEnd"/>
      <w:r w:rsidR="00FA3BCC">
        <w:rPr>
          <w:rFonts w:ascii="Times New Roman" w:hAnsi="Times New Roman" w:cs="Times New Roman"/>
          <w:sz w:val="24"/>
          <w:szCs w:val="24"/>
        </w:rPr>
        <w:t xml:space="preserve"> incluyeron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E47">
        <w:rPr>
          <w:rFonts w:ascii="Times New Roman" w:hAnsi="Times New Roman" w:cs="Times New Roman"/>
          <w:sz w:val="24"/>
          <w:szCs w:val="24"/>
        </w:rPr>
        <w:t xml:space="preserve">control de </w:t>
      </w:r>
      <w:r>
        <w:rPr>
          <w:rFonts w:ascii="Times New Roman" w:hAnsi="Times New Roman" w:cs="Times New Roman"/>
          <w:sz w:val="24"/>
          <w:szCs w:val="24"/>
        </w:rPr>
        <w:t>fotoperiodo (16h:8h) e iluminación (800</w:t>
      </w:r>
      <w:r w:rsidRPr="009D1D62">
        <w:rPr>
          <w:rFonts w:ascii="Times New Roman" w:hAnsi="Times New Roman" w:cs="Times New Roman"/>
          <w:sz w:val="24"/>
          <w:szCs w:val="24"/>
        </w:rPr>
        <w:t xml:space="preserve">luxes), </w:t>
      </w:r>
      <w:r w:rsidR="00B314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temperatura (20±2°C). </w:t>
      </w:r>
      <w:r w:rsid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El medio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de propagación</w:t>
      </w:r>
      <w:r w:rsidRPr="009D1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fue </w:t>
      </w:r>
      <w:r w:rsidRPr="009D1D62">
        <w:rPr>
          <w:rFonts w:ascii="Times New Roman" w:hAnsi="Times New Roman" w:cs="Times New Roman"/>
          <w:sz w:val="24"/>
          <w:szCs w:val="24"/>
        </w:rPr>
        <w:t>agua potable embotellada con las siguientes condiciones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D1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dureza (45.6mg/l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CaCO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 n=3), alcalinidad (93.56mg/l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CaCO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="000968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n=3), pH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(7.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14 unidades; n</w:t>
      </w:r>
      <w:r w:rsid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=3),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oxígeno disuelto (4.5mg/l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n=3). </w:t>
      </w:r>
      <w:r w:rsidRPr="009D1D62">
        <w:rPr>
          <w:rFonts w:ascii="Times New Roman" w:hAnsi="Times New Roman" w:cs="Times New Roman"/>
          <w:i/>
          <w:sz w:val="24"/>
          <w:szCs w:val="24"/>
        </w:rPr>
        <w:t xml:space="preserve">D. magna </w:t>
      </w:r>
      <w:r w:rsidRPr="009D1D62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alimentó con </w:t>
      </w:r>
      <w:r w:rsidRPr="009D1D62">
        <w:rPr>
          <w:rFonts w:ascii="Times New Roman" w:hAnsi="Times New Roman" w:cs="Times New Roman"/>
          <w:sz w:val="24"/>
          <w:szCs w:val="24"/>
        </w:rPr>
        <w:t xml:space="preserve">suspensiones de </w:t>
      </w:r>
      <w:proofErr w:type="spellStart"/>
      <w:r w:rsidRPr="009D1D62">
        <w:rPr>
          <w:rFonts w:ascii="Times New Roman" w:hAnsi="Times New Roman" w:cs="Times New Roman"/>
          <w:sz w:val="24"/>
          <w:szCs w:val="24"/>
        </w:rPr>
        <w:t>microalgas</w:t>
      </w:r>
      <w:proofErr w:type="spellEnd"/>
      <w:r w:rsidRPr="009D1D62">
        <w:rPr>
          <w:rFonts w:ascii="Times New Roman" w:hAnsi="Times New Roman" w:cs="Times New Roman"/>
          <w:sz w:val="24"/>
          <w:szCs w:val="24"/>
        </w:rPr>
        <w:t xml:space="preserve"> clorofíceas (</w:t>
      </w:r>
      <w:proofErr w:type="spellStart"/>
      <w:r w:rsidRPr="009D1D62">
        <w:rPr>
          <w:rFonts w:ascii="Times New Roman" w:hAnsi="Times New Roman" w:cs="Times New Roman"/>
          <w:i/>
          <w:sz w:val="24"/>
          <w:szCs w:val="24"/>
        </w:rPr>
        <w:t>Chlorella</w:t>
      </w:r>
      <w:proofErr w:type="spellEnd"/>
      <w:r w:rsidRPr="009D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62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D1D62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suministradas por el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Grupo de Investigación en Química y Tecnolog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ía de Alimentos (GIQTA) de la Universidad Pedagógica y Tecnológica de Colombia (UPTC)</w:t>
      </w:r>
      <w:r w:rsidR="00B31496">
        <w:rPr>
          <w:rFonts w:ascii="Times New Roman" w:hAnsi="Times New Roman" w:cs="Times New Roman"/>
          <w:sz w:val="24"/>
          <w:szCs w:val="24"/>
        </w:rPr>
        <w:t xml:space="preserve">. </w:t>
      </w:r>
      <w:r w:rsidRPr="009D1D62">
        <w:rPr>
          <w:rFonts w:ascii="Times New Roman" w:hAnsi="Times New Roman" w:cs="Times New Roman"/>
          <w:sz w:val="24"/>
          <w:szCs w:val="24"/>
        </w:rPr>
        <w:t xml:space="preserve">Las poblaciones de </w:t>
      </w:r>
      <w:r w:rsidRPr="009D1D62">
        <w:rPr>
          <w:rFonts w:ascii="Times New Roman" w:hAnsi="Times New Roman" w:cs="Times New Roman"/>
          <w:i/>
          <w:sz w:val="24"/>
          <w:szCs w:val="24"/>
        </w:rPr>
        <w:t xml:space="preserve">H. </w:t>
      </w:r>
      <w:proofErr w:type="spellStart"/>
      <w:r w:rsidRPr="009D1D62">
        <w:rPr>
          <w:rFonts w:ascii="Times New Roman" w:hAnsi="Times New Roman" w:cs="Times New Roman"/>
          <w:i/>
          <w:sz w:val="24"/>
          <w:szCs w:val="24"/>
        </w:rPr>
        <w:t>attenuata</w:t>
      </w:r>
      <w:proofErr w:type="spellEnd"/>
      <w:r w:rsidRPr="009D1D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D62">
        <w:rPr>
          <w:rFonts w:ascii="Times New Roman" w:hAnsi="Times New Roman" w:cs="Times New Roman"/>
          <w:sz w:val="24"/>
          <w:szCs w:val="24"/>
        </w:rPr>
        <w:t xml:space="preserve">fueron alimentadas con </w:t>
      </w:r>
      <w:proofErr w:type="spellStart"/>
      <w:r w:rsidRPr="009D1D62">
        <w:rPr>
          <w:rFonts w:ascii="Times New Roman" w:hAnsi="Times New Roman" w:cs="Times New Roman"/>
          <w:sz w:val="24"/>
          <w:szCs w:val="24"/>
        </w:rPr>
        <w:t>nauplios</w:t>
      </w:r>
      <w:proofErr w:type="spellEnd"/>
      <w:r w:rsidRPr="009D1D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1D62">
        <w:rPr>
          <w:rFonts w:ascii="Times New Roman" w:hAnsi="Times New Roman" w:cs="Times New Roman"/>
          <w:i/>
          <w:sz w:val="24"/>
          <w:szCs w:val="24"/>
        </w:rPr>
        <w:t>Artemia</w:t>
      </w:r>
      <w:proofErr w:type="spellEnd"/>
      <w:r w:rsidRPr="009D1D62">
        <w:rPr>
          <w:rFonts w:ascii="Times New Roman" w:hAnsi="Times New Roman" w:cs="Times New Roman"/>
          <w:i/>
          <w:sz w:val="24"/>
          <w:szCs w:val="24"/>
        </w:rPr>
        <w:t xml:space="preserve"> salina</w:t>
      </w:r>
      <w:r w:rsidRPr="009D1D62">
        <w:rPr>
          <w:rFonts w:ascii="Times New Roman" w:hAnsi="Times New Roman" w:cs="Times New Roman"/>
          <w:sz w:val="24"/>
          <w:szCs w:val="24"/>
        </w:rPr>
        <w:t xml:space="preserve"> recién eclosionados, propagados según lo sugerido por Blaise &amp; </w:t>
      </w:r>
      <w:proofErr w:type="spellStart"/>
      <w:r w:rsidRPr="009D1D62">
        <w:rPr>
          <w:rFonts w:ascii="Times New Roman" w:hAnsi="Times New Roman" w:cs="Times New Roman"/>
          <w:sz w:val="24"/>
          <w:szCs w:val="24"/>
        </w:rPr>
        <w:t>Kusui</w:t>
      </w:r>
      <w:proofErr w:type="spellEnd"/>
      <w:r w:rsidRPr="009D1D62">
        <w:rPr>
          <w:rFonts w:ascii="Times New Roman" w:hAnsi="Times New Roman" w:cs="Times New Roman"/>
          <w:sz w:val="24"/>
          <w:szCs w:val="24"/>
        </w:rPr>
        <w:t xml:space="preserve"> (1997). Se realizó la aclimatación, seguimiento del crecimiento y reproducción de los organismos en los cultivos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D62">
        <w:rPr>
          <w:rFonts w:ascii="Times New Roman" w:hAnsi="Times New Roman" w:cs="Times New Roman"/>
          <w:sz w:val="24"/>
          <w:szCs w:val="24"/>
        </w:rPr>
        <w:t xml:space="preserve"> al evaluar en </w:t>
      </w:r>
      <w:r>
        <w:rPr>
          <w:rFonts w:ascii="Times New Roman" w:hAnsi="Times New Roman" w:cs="Times New Roman"/>
          <w:i/>
          <w:sz w:val="24"/>
          <w:szCs w:val="24"/>
        </w:rPr>
        <w:t>D. magna</w:t>
      </w:r>
      <w:r>
        <w:rPr>
          <w:rFonts w:ascii="Times New Roman" w:hAnsi="Times New Roman" w:cs="Times New Roman"/>
          <w:sz w:val="24"/>
          <w:szCs w:val="24"/>
        </w:rPr>
        <w:t xml:space="preserve"> número de neonatos y </w:t>
      </w:r>
      <w:r w:rsidRPr="009D1D62">
        <w:rPr>
          <w:rFonts w:ascii="Times New Roman" w:hAnsi="Times New Roman" w:cs="Times New Roman"/>
          <w:sz w:val="24"/>
          <w:szCs w:val="24"/>
        </w:rPr>
        <w:t>tiempo de madurez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Dutka</w:t>
      </w:r>
      <w:proofErr w:type="spellEnd"/>
      <w:r>
        <w:rPr>
          <w:rFonts w:ascii="Times New Roman" w:hAnsi="Times New Roman" w:cs="Times New Roman"/>
          <w:sz w:val="24"/>
          <w:szCs w:val="24"/>
        </w:rPr>
        <w:t>, 1989)</w:t>
      </w:r>
      <w:r w:rsidRPr="009D1D62">
        <w:rPr>
          <w:rFonts w:ascii="Times New Roman" w:hAnsi="Times New Roman" w:cs="Times New Roman"/>
          <w:sz w:val="24"/>
          <w:szCs w:val="24"/>
        </w:rPr>
        <w:t xml:space="preserve"> y en el caso de </w:t>
      </w:r>
      <w:r w:rsidRPr="009D1D62">
        <w:rPr>
          <w:rFonts w:ascii="Times New Roman" w:hAnsi="Times New Roman" w:cs="Times New Roman"/>
          <w:i/>
          <w:sz w:val="24"/>
          <w:szCs w:val="24"/>
        </w:rPr>
        <w:t xml:space="preserve">H </w:t>
      </w:r>
      <w:proofErr w:type="spellStart"/>
      <w:r w:rsidRPr="009D1D62">
        <w:rPr>
          <w:rFonts w:ascii="Times New Roman" w:hAnsi="Times New Roman" w:cs="Times New Roman"/>
          <w:i/>
          <w:sz w:val="24"/>
          <w:szCs w:val="24"/>
        </w:rPr>
        <w:t>attenuata</w:t>
      </w:r>
      <w:proofErr w:type="spellEnd"/>
      <w:r w:rsidRPr="009D1D6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80E19">
        <w:rPr>
          <w:rFonts w:ascii="Times New Roman" w:hAnsi="Times New Roman" w:cs="Times New Roman"/>
          <w:sz w:val="24"/>
          <w:szCs w:val="24"/>
        </w:rPr>
        <w:t xml:space="preserve">se calculó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tiempo de duplicación (</w:t>
      </w:r>
      <w:proofErr w:type="spellStart"/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Td</w:t>
      </w:r>
      <w:proofErr w:type="spellEnd"/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 obtuvo la tasa de crecimiento exponencial (n=3)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mediante la ecuación: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K= Ln2/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=0,693/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D1D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F2C6C">
        <w:rPr>
          <w:rFonts w:ascii="Times New Roman" w:hAnsi="Times New Roman" w:cs="Times New Roman"/>
          <w:sz w:val="24"/>
          <w:szCs w:val="24"/>
        </w:rPr>
        <w:t>Trottier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al., </w:t>
      </w:r>
      <w:r w:rsidRPr="009D1D62">
        <w:rPr>
          <w:rFonts w:ascii="Times New Roman" w:hAnsi="Times New Roman" w:cs="Times New Roman"/>
          <w:sz w:val="24"/>
          <w:szCs w:val="24"/>
        </w:rPr>
        <w:t>1997).</w:t>
      </w:r>
    </w:p>
    <w:p w:rsidR="002F06E9" w:rsidRDefault="008A09F5" w:rsidP="008A09F5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D87EEC">
        <w:rPr>
          <w:rFonts w:ascii="Times New Roman" w:hAnsi="Times New Roman" w:cs="Times New Roman"/>
          <w:b/>
          <w:bCs/>
          <w:sz w:val="24"/>
          <w:szCs w:val="24"/>
        </w:rPr>
        <w:t xml:space="preserve">Ensayos de toxicidad </w:t>
      </w:r>
      <w:proofErr w:type="spellStart"/>
      <w:r w:rsidRPr="00D87EEC">
        <w:rPr>
          <w:rFonts w:ascii="Times New Roman" w:hAnsi="Times New Roman" w:cs="Times New Roman"/>
          <w:b/>
          <w:bCs/>
          <w:sz w:val="24"/>
          <w:szCs w:val="24"/>
        </w:rPr>
        <w:t>mul</w:t>
      </w:r>
      <w:r>
        <w:rPr>
          <w:rFonts w:ascii="Times New Roman" w:hAnsi="Times New Roman" w:cs="Times New Roman"/>
          <w:b/>
          <w:bCs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-concentración (s</w:t>
      </w:r>
      <w:r w:rsidRPr="00D87EEC">
        <w:rPr>
          <w:rFonts w:ascii="Times New Roman" w:hAnsi="Times New Roman" w:cs="Times New Roman"/>
          <w:b/>
          <w:bCs/>
          <w:sz w:val="24"/>
          <w:szCs w:val="24"/>
        </w:rPr>
        <w:t>ensibilidad):</w:t>
      </w:r>
      <w:r w:rsidRPr="009D1D62">
        <w:rPr>
          <w:rFonts w:ascii="Times New Roman" w:hAnsi="Times New Roman" w:cs="Times New Roman"/>
          <w:b/>
          <w:bCs/>
        </w:rPr>
        <w:t xml:space="preserve"> </w:t>
      </w:r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>En el</w:t>
      </w:r>
      <w:r w:rsidR="009C0960" w:rsidRPr="009C0960">
        <w:rPr>
          <w:rFonts w:ascii="Times New Roman" w:hAnsi="Times New Roman" w:cs="Times New Roman"/>
          <w:bCs/>
          <w:sz w:val="24"/>
          <w:szCs w:val="24"/>
        </w:rPr>
        <w:t xml:space="preserve"> diseño experimental s</w:t>
      </w:r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 xml:space="preserve">e evaluaron concentraciones de 1.5 a 5.5g/l de </w:t>
      </w:r>
      <w:proofErr w:type="spellStart"/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>NaCl</w:t>
      </w:r>
      <w:proofErr w:type="spellEnd"/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 xml:space="preserve"> para </w:t>
      </w:r>
      <w:r w:rsidR="009C0960" w:rsidRPr="009C0960">
        <w:rPr>
          <w:rFonts w:ascii="Times New Roman" w:hAnsi="Times New Roman" w:cs="Times New Roman"/>
          <w:bCs/>
          <w:i/>
          <w:iCs/>
          <w:sz w:val="24"/>
          <w:szCs w:val="24"/>
        </w:rPr>
        <w:t>D. magna</w:t>
      </w:r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 xml:space="preserve"> y de 0.3 a 1.5g/l de </w:t>
      </w:r>
      <w:proofErr w:type="spellStart"/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>NaCl</w:t>
      </w:r>
      <w:proofErr w:type="spellEnd"/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 xml:space="preserve"> para </w:t>
      </w:r>
      <w:r w:rsidR="009C0960" w:rsidRPr="009C09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H. </w:t>
      </w:r>
      <w:proofErr w:type="spellStart"/>
      <w:r w:rsidR="009C0960" w:rsidRPr="009C0960">
        <w:rPr>
          <w:rFonts w:ascii="Times New Roman" w:hAnsi="Times New Roman" w:cs="Times New Roman"/>
          <w:bCs/>
          <w:i/>
          <w:iCs/>
          <w:sz w:val="24"/>
          <w:szCs w:val="24"/>
        </w:rPr>
        <w:t>attenuata</w:t>
      </w:r>
      <w:proofErr w:type="spellEnd"/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C0960" w:rsidRPr="009C09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C0960" w:rsidRPr="009C0960">
        <w:rPr>
          <w:rFonts w:ascii="Times New Roman" w:hAnsi="Times New Roman" w:cs="Times New Roman"/>
          <w:sz w:val="24"/>
          <w:szCs w:val="24"/>
        </w:rPr>
        <w:t>bajo tiempos de exposición de 48h y 96h, respectivamente</w:t>
      </w:r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 xml:space="preserve">. Cada ensayo incluyó </w:t>
      </w:r>
      <w:r w:rsidR="009C0960">
        <w:rPr>
          <w:rFonts w:ascii="Times New Roman" w:hAnsi="Times New Roman" w:cs="Times New Roman"/>
          <w:bCs/>
          <w:iCs/>
          <w:sz w:val="24"/>
          <w:szCs w:val="24"/>
        </w:rPr>
        <w:t>tres réplicas</w:t>
      </w:r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 xml:space="preserve"> con su respectivo control negativo y con un número definido de organismos (</w:t>
      </w:r>
      <w:r w:rsidR="009C0960" w:rsidRPr="009C0960">
        <w:rPr>
          <w:rFonts w:ascii="Times New Roman" w:hAnsi="Times New Roman" w:cs="Times New Roman"/>
          <w:bCs/>
          <w:i/>
          <w:iCs/>
          <w:sz w:val="24"/>
          <w:szCs w:val="24"/>
        </w:rPr>
        <w:t>D. magna</w:t>
      </w:r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 xml:space="preserve">; n=21 a 30 neonatos de menos de 24±12h e </w:t>
      </w:r>
      <w:r w:rsidR="009C0960" w:rsidRPr="009C09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H. </w:t>
      </w:r>
      <w:proofErr w:type="spellStart"/>
      <w:r w:rsidR="009C0960" w:rsidRPr="009C0960">
        <w:rPr>
          <w:rFonts w:ascii="Times New Roman" w:hAnsi="Times New Roman" w:cs="Times New Roman"/>
          <w:bCs/>
          <w:i/>
          <w:iCs/>
          <w:sz w:val="24"/>
          <w:szCs w:val="24"/>
        </w:rPr>
        <w:t>attenuata</w:t>
      </w:r>
      <w:proofErr w:type="spellEnd"/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 xml:space="preserve">; n=9 individuos adultos sin yemas) según lo establecido por </w:t>
      </w:r>
      <w:proofErr w:type="spellStart"/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>Dutka</w:t>
      </w:r>
      <w:proofErr w:type="spellEnd"/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 xml:space="preserve"> (1989) y Blaise &amp; </w:t>
      </w:r>
      <w:proofErr w:type="spellStart"/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>Kusui</w:t>
      </w:r>
      <w:proofErr w:type="spellEnd"/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 xml:space="preserve"> (1997), referenciados en Díaz et al.</w:t>
      </w:r>
      <w:r w:rsidR="009C0960" w:rsidRPr="009C09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C0960" w:rsidRPr="009C0960">
        <w:rPr>
          <w:rFonts w:ascii="Times New Roman" w:hAnsi="Times New Roman" w:cs="Times New Roman"/>
          <w:bCs/>
          <w:iCs/>
          <w:sz w:val="24"/>
          <w:szCs w:val="24"/>
        </w:rPr>
        <w:t>(2004)</w:t>
      </w:r>
      <w:r w:rsidR="009C0960" w:rsidRPr="009C0960">
        <w:rPr>
          <w:rFonts w:ascii="Times New Roman" w:hAnsi="Times New Roman" w:cs="Times New Roman"/>
          <w:sz w:val="24"/>
          <w:szCs w:val="24"/>
        </w:rPr>
        <w:t>.</w:t>
      </w:r>
      <w:r w:rsidR="009C0960">
        <w:rPr>
          <w:rFonts w:ascii="Times New Roman" w:hAnsi="Times New Roman" w:cs="Times New Roman"/>
        </w:rPr>
        <w:t xml:space="preserve"> </w:t>
      </w:r>
    </w:p>
    <w:p w:rsidR="002F06E9" w:rsidRDefault="002F06E9" w:rsidP="008A09F5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9D1D62">
        <w:rPr>
          <w:rFonts w:ascii="Times New Roman" w:hAnsi="Times New Roman" w:cs="Times New Roman"/>
          <w:sz w:val="24"/>
          <w:szCs w:val="24"/>
        </w:rPr>
        <w:t xml:space="preserve">Para los ensayos de sensibilidad se </w:t>
      </w:r>
      <w:r w:rsidRPr="009D1D62">
        <w:rPr>
          <w:rFonts w:ascii="Times New Roman" w:hAnsi="Times New Roman" w:cs="Times New Roman"/>
          <w:bCs/>
          <w:sz w:val="24"/>
          <w:szCs w:val="24"/>
        </w:rPr>
        <w:t>calculó la CL</w:t>
      </w:r>
      <w:r w:rsidRPr="009D1D62">
        <w:rPr>
          <w:rFonts w:ascii="Times New Roman" w:hAnsi="Times New Roman" w:cs="Times New Roman"/>
          <w:bCs/>
          <w:sz w:val="24"/>
          <w:szCs w:val="24"/>
          <w:vertAlign w:val="subscript"/>
        </w:rPr>
        <w:t>50</w:t>
      </w:r>
      <w:r w:rsidRPr="009D1D62">
        <w:rPr>
          <w:rFonts w:ascii="Times New Roman" w:hAnsi="Times New Roman" w:cs="Times New Roman"/>
          <w:bCs/>
          <w:sz w:val="24"/>
          <w:szCs w:val="24"/>
        </w:rPr>
        <w:t xml:space="preserve"> y CE</w:t>
      </w:r>
      <w:r w:rsidRPr="009D1D62">
        <w:rPr>
          <w:rFonts w:ascii="Times New Roman" w:hAnsi="Times New Roman" w:cs="Times New Roman"/>
          <w:bCs/>
          <w:sz w:val="24"/>
          <w:szCs w:val="24"/>
          <w:vertAlign w:val="subscript"/>
        </w:rPr>
        <w:t>50</w:t>
      </w:r>
      <w:r w:rsidRPr="009D1D62">
        <w:rPr>
          <w:rFonts w:ascii="Times New Roman" w:hAnsi="Times New Roman" w:cs="Times New Roman"/>
          <w:bCs/>
          <w:sz w:val="24"/>
          <w:szCs w:val="24"/>
        </w:rPr>
        <w:t xml:space="preserve"> con </w:t>
      </w:r>
      <w:r w:rsidRPr="009D1D62">
        <w:rPr>
          <w:rFonts w:ascii="Times New Roman" w:hAnsi="Times New Roman" w:cs="Times New Roman"/>
          <w:sz w:val="24"/>
          <w:szCs w:val="24"/>
        </w:rPr>
        <w:t xml:space="preserve">el software </w:t>
      </w:r>
      <w:proofErr w:type="spellStart"/>
      <w:r w:rsidRPr="009D1D62">
        <w:rPr>
          <w:rFonts w:ascii="Times New Roman" w:hAnsi="Times New Roman" w:cs="Times New Roman"/>
          <w:sz w:val="24"/>
          <w:szCs w:val="24"/>
        </w:rPr>
        <w:t>Probit</w:t>
      </w:r>
      <w:proofErr w:type="spellEnd"/>
      <w:r w:rsidRPr="009D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6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9D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62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9D1D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D62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9D1D62">
        <w:rPr>
          <w:rFonts w:ascii="Times New Roman" w:hAnsi="Times New Roman" w:cs="Times New Roman"/>
          <w:sz w:val="24"/>
          <w:szCs w:val="24"/>
        </w:rPr>
        <w:t xml:space="preserve"> 1.5 desarrollado por la US </w:t>
      </w:r>
      <w:proofErr w:type="spellStart"/>
      <w:r w:rsidRPr="009D1D62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9D1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62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9D1D62">
        <w:rPr>
          <w:rFonts w:ascii="Times New Roman" w:hAnsi="Times New Roman" w:cs="Times New Roman"/>
          <w:sz w:val="24"/>
          <w:szCs w:val="24"/>
        </w:rPr>
        <w:t xml:space="preserve"> Agency (U.S.EPA). Los valores de </w:t>
      </w:r>
      <w:r w:rsidRPr="009D1D62">
        <w:rPr>
          <w:rFonts w:ascii="Times New Roman" w:hAnsi="Times New Roman" w:cs="Times New Roman"/>
          <w:bCs/>
          <w:sz w:val="24"/>
          <w:szCs w:val="24"/>
        </w:rPr>
        <w:t>CL</w:t>
      </w:r>
      <w:r w:rsidRPr="009D1D62">
        <w:rPr>
          <w:rFonts w:ascii="Times New Roman" w:hAnsi="Times New Roman" w:cs="Times New Roman"/>
          <w:bCs/>
          <w:sz w:val="24"/>
          <w:szCs w:val="24"/>
          <w:vertAlign w:val="subscript"/>
        </w:rPr>
        <w:t>50</w:t>
      </w:r>
      <w:r w:rsidRPr="009D1D62">
        <w:rPr>
          <w:rFonts w:ascii="Times New Roman" w:hAnsi="Times New Roman" w:cs="Times New Roman"/>
          <w:bCs/>
          <w:sz w:val="24"/>
          <w:szCs w:val="24"/>
        </w:rPr>
        <w:t xml:space="preserve"> y CE</w:t>
      </w:r>
      <w:r w:rsidR="009627FD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50 </w:t>
      </w:r>
      <w:r w:rsidRPr="009D1D62">
        <w:rPr>
          <w:rFonts w:ascii="Times New Roman" w:hAnsi="Times New Roman" w:cs="Times New Roman"/>
          <w:bCs/>
          <w:sz w:val="24"/>
          <w:szCs w:val="24"/>
        </w:rPr>
        <w:t>se graficaron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1D62">
        <w:rPr>
          <w:rFonts w:ascii="Times New Roman" w:hAnsi="Times New Roman" w:cs="Times New Roman"/>
          <w:sz w:val="24"/>
          <w:szCs w:val="24"/>
        </w:rPr>
        <w:t>con el fin de obtener la carta control de sensibilidad que permitió evaluar el estado fisiológico de los organismos, frente al tóxico de referencia</w:t>
      </w:r>
      <w:r>
        <w:rPr>
          <w:rFonts w:ascii="Times New Roman" w:hAnsi="Times New Roman" w:cs="Times New Roman"/>
          <w:sz w:val="24"/>
          <w:szCs w:val="24"/>
        </w:rPr>
        <w:t xml:space="preserve"> y su variabilidad en el tiempo</w:t>
      </w:r>
      <w:r w:rsidR="009627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1D62">
        <w:rPr>
          <w:rFonts w:ascii="Times New Roman" w:hAnsi="Times New Roman" w:cs="Times New Roman"/>
          <w:sz w:val="24"/>
          <w:szCs w:val="24"/>
        </w:rPr>
        <w:t>e calculó el promedio y dos veces la desviación estándar para establecer los límites superior e inferior (</w:t>
      </w:r>
      <w:r w:rsidRPr="009D1D62">
        <w:rPr>
          <w:rFonts w:ascii="Times New Roman" w:hAnsi="Times New Roman" w:cs="Times New Roman"/>
          <w:bCs/>
          <w:iCs/>
          <w:sz w:val="24"/>
          <w:szCs w:val="24"/>
        </w:rPr>
        <w:t xml:space="preserve">Díaz </w:t>
      </w:r>
      <w:r w:rsidRPr="003412D5">
        <w:rPr>
          <w:rFonts w:ascii="Times New Roman" w:hAnsi="Times New Roman" w:cs="Times New Roman"/>
          <w:bCs/>
          <w:iCs/>
          <w:sz w:val="24"/>
          <w:szCs w:val="24"/>
        </w:rPr>
        <w:t>et al.,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D1D62">
        <w:rPr>
          <w:rFonts w:ascii="Times New Roman" w:hAnsi="Times New Roman" w:cs="Times New Roman"/>
          <w:bCs/>
          <w:iCs/>
          <w:sz w:val="24"/>
          <w:szCs w:val="24"/>
        </w:rPr>
        <w:t>2004)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A09F5" w:rsidRDefault="008A09F5" w:rsidP="008A09F5">
      <w:pPr>
        <w:widowControl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Para </w:t>
      </w:r>
      <w:r w:rsidRPr="009D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>D. magna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obtuvo una CL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50-48h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promedio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de 3.5g/l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luego de realizar diez ensayos (n=10), la sensibilidad de la especie al cloruro de sodio osciló dentro del intervalo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de 2.8 a 4.3g/l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 un límite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 confianza del 95% (Fig. A)</w:t>
      </w:r>
    </w:p>
    <w:p w:rsidR="008A09F5" w:rsidRDefault="00937031" w:rsidP="008A09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37BDFDEF" wp14:editId="0EC3856E">
            <wp:simplePos x="0" y="0"/>
            <wp:positionH relativeFrom="column">
              <wp:posOffset>1035169</wp:posOffset>
            </wp:positionH>
            <wp:positionV relativeFrom="paragraph">
              <wp:posOffset>301361</wp:posOffset>
            </wp:positionV>
            <wp:extent cx="4037330" cy="2493010"/>
            <wp:effectExtent l="0" t="0" r="1270" b="254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09F5" w:rsidRDefault="00961066" w:rsidP="00C53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8A09F5" w:rsidRDefault="008A09F5" w:rsidP="008A09F5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Fig. A</w:t>
      </w:r>
      <w:r w:rsidRPr="0063457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9D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Carta Control de Sensibilidad para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D.</w:t>
      </w:r>
      <w:r w:rsidRPr="009D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magna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con </w:t>
      </w:r>
      <w:proofErr w:type="spellStart"/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NaCl</w:t>
      </w:r>
      <w:proofErr w:type="spellEnd"/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como tóxico de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referencia. </w:t>
      </w:r>
      <w:r w:rsidRPr="008351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CV: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coeficiente de variación; </w:t>
      </w:r>
      <w:r w:rsidRPr="008351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DS: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desviación estándar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A09F5" w:rsidRDefault="008A09F5" w:rsidP="008A09F5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09F5" w:rsidRPr="008E621F" w:rsidRDefault="008A09F5" w:rsidP="008A09F5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Fig. A</w:t>
      </w:r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>Sensitivity</w:t>
      </w:r>
      <w:proofErr w:type="spellEnd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control chart </w:t>
      </w:r>
      <w:proofErr w:type="spellStart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>for</w:t>
      </w:r>
      <w:proofErr w:type="spellEnd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02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D. magna</w:t>
      </w:r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>NaCl</w:t>
      </w:r>
      <w:proofErr w:type="spellEnd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 a </w:t>
      </w:r>
      <w:proofErr w:type="spellStart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>reference</w:t>
      </w:r>
      <w:proofErr w:type="spellEnd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>toxicant</w:t>
      </w:r>
      <w:proofErr w:type="spellEnd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8E6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CV: </w:t>
      </w:r>
      <w:proofErr w:type="spellStart"/>
      <w:r w:rsidRPr="008E621F">
        <w:rPr>
          <w:rFonts w:ascii="Times New Roman" w:hAnsi="Times New Roman" w:cs="Times New Roman"/>
          <w:bCs/>
          <w:color w:val="000000"/>
          <w:sz w:val="24"/>
          <w:szCs w:val="24"/>
        </w:rPr>
        <w:t>coefficient</w:t>
      </w:r>
      <w:proofErr w:type="spellEnd"/>
      <w:r w:rsidRPr="008E62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8E621F">
        <w:rPr>
          <w:rFonts w:ascii="Times New Roman" w:hAnsi="Times New Roman" w:cs="Times New Roman"/>
          <w:bCs/>
          <w:color w:val="000000"/>
          <w:sz w:val="24"/>
          <w:szCs w:val="24"/>
        </w:rPr>
        <w:t>variation</w:t>
      </w:r>
      <w:proofErr w:type="spellEnd"/>
      <w:r w:rsidRPr="008E62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8E6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SD:</w:t>
      </w:r>
      <w:r w:rsidRPr="008E62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standard </w:t>
      </w:r>
      <w:proofErr w:type="spellStart"/>
      <w:r w:rsidRPr="008E621F">
        <w:rPr>
          <w:rFonts w:ascii="Times New Roman" w:hAnsi="Times New Roman" w:cs="Times New Roman"/>
          <w:bCs/>
          <w:color w:val="000000"/>
          <w:sz w:val="24"/>
          <w:szCs w:val="24"/>
        </w:rPr>
        <w:t>deviation</w:t>
      </w:r>
      <w:proofErr w:type="spellEnd"/>
      <w:r w:rsidRPr="008E62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8A09F5" w:rsidRPr="008E621F" w:rsidRDefault="008A09F5" w:rsidP="008A09F5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09F5" w:rsidRDefault="008A09F5" w:rsidP="008A09F5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Los datos de sensibilidad obtenidos para </w:t>
      </w:r>
      <w:r w:rsidRPr="009D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>D. magna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 este trabajo (2.8 a 4.3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 </w:t>
      </w:r>
      <w:proofErr w:type="spellStart"/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/l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están por debajo de los </w:t>
      </w:r>
      <w:r w:rsidR="00317591">
        <w:rPr>
          <w:rFonts w:ascii="Times New Roman" w:hAnsi="Times New Roman" w:cs="Times New Roman"/>
          <w:bCs/>
          <w:color w:val="000000"/>
          <w:sz w:val="24"/>
          <w:szCs w:val="24"/>
        </w:rPr>
        <w:t>referenciados por otros autores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E91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sensibilidad al cloruro de sodio </w:t>
      </w:r>
      <w:r w:rsidR="00E91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para esta especie según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Mount </w:t>
      </w:r>
      <w:r w:rsidRPr="001037D9">
        <w:rPr>
          <w:rFonts w:ascii="Times New Roman" w:hAnsi="Times New Roman" w:cs="Times New Roman"/>
          <w:bCs/>
          <w:color w:val="000000"/>
          <w:sz w:val="24"/>
          <w:szCs w:val="24"/>
        </w:rPr>
        <w:t>et al</w:t>
      </w:r>
      <w:r w:rsidRPr="009D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  <w:r w:rsidR="00B365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(1997) fue</w:t>
      </w:r>
      <w:r w:rsid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CL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 xml:space="preserve">50-48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de 4.77g/l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Santos </w:t>
      </w:r>
      <w:r w:rsidRPr="001037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et al. </w:t>
      </w:r>
      <w:r w:rsidRPr="00821F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(2007): 5.55g/l (4.8g/l-6.3g/l), </w:t>
      </w:r>
      <w:proofErr w:type="spellStart"/>
      <w:r w:rsidRPr="00821FE4">
        <w:rPr>
          <w:rFonts w:ascii="Times New Roman" w:hAnsi="Times New Roman" w:cs="Times New Roman"/>
          <w:bCs/>
          <w:color w:val="000000"/>
          <w:sz w:val="24"/>
          <w:szCs w:val="24"/>
        </w:rPr>
        <w:t>Cowgill</w:t>
      </w:r>
      <w:proofErr w:type="spellEnd"/>
      <w:r w:rsidRPr="00821F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&amp; </w:t>
      </w:r>
      <w:proofErr w:type="spellStart"/>
      <w:r w:rsidRPr="00821FE4">
        <w:rPr>
          <w:rFonts w:ascii="Times New Roman" w:hAnsi="Times New Roman" w:cs="Times New Roman"/>
          <w:bCs/>
          <w:color w:val="000000"/>
          <w:sz w:val="24"/>
          <w:szCs w:val="24"/>
        </w:rPr>
        <w:t>Milazzo</w:t>
      </w:r>
      <w:proofErr w:type="spellEnd"/>
      <w:r w:rsidRPr="00821F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(1990): 6.03g/l, </w:t>
      </w:r>
      <w:proofErr w:type="spellStart"/>
      <w:r w:rsidRPr="00821FE4">
        <w:rPr>
          <w:rFonts w:ascii="Times New Roman" w:hAnsi="Times New Roman" w:cs="Times New Roman"/>
          <w:bCs/>
          <w:color w:val="000000"/>
          <w:sz w:val="24"/>
          <w:szCs w:val="24"/>
        </w:rPr>
        <w:t>Cowgill</w:t>
      </w:r>
      <w:proofErr w:type="spellEnd"/>
      <w:r w:rsidRPr="00821F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&amp; </w:t>
      </w:r>
      <w:proofErr w:type="spellStart"/>
      <w:r w:rsidRPr="00821FE4">
        <w:rPr>
          <w:rFonts w:ascii="Times New Roman" w:hAnsi="Times New Roman" w:cs="Times New Roman"/>
          <w:bCs/>
          <w:color w:val="000000"/>
          <w:sz w:val="24"/>
          <w:szCs w:val="24"/>
        </w:rPr>
        <w:t>Milazzo</w:t>
      </w:r>
      <w:proofErr w:type="spellEnd"/>
      <w:r w:rsidRPr="00821F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(1991): 7.7g/l, </w:t>
      </w:r>
      <w:r w:rsidR="00B365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 </w:t>
      </w:r>
      <w:r w:rsidRPr="00821F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Hong et al.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(2004): 7.3g/l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Las condiciones de ensayo de estos autores reportan el uso de </w:t>
      </w:r>
      <w:r w:rsidR="00E91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aguas con </w:t>
      </w:r>
      <w:r w:rsid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durezas </w:t>
      </w:r>
      <w:r w:rsidR="00E91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altas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entre</w:t>
      </w:r>
      <w:r w:rsidR="00B3149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B31496">
        <w:rPr>
          <w:rFonts w:ascii="Times New Roman" w:hAnsi="Times New Roman" w:cs="Times New Roman"/>
          <w:bCs/>
          <w:color w:val="000000"/>
          <w:sz w:val="24"/>
          <w:szCs w:val="24"/>
        </w:rPr>
        <w:t>160-180mg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/l</w:t>
      </w:r>
      <w:r w:rsid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CaCO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 xml:space="preserve">3,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que </w:t>
      </w:r>
      <w:r w:rsidR="00E91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podrían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favorece</w:t>
      </w:r>
      <w:r w:rsidR="00E91ABF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los procesos de enmascaramiento de la toxicidad de algunas sustancias </w:t>
      </w:r>
      <w:r w:rsidRPr="00B01895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Pr="00B01895">
        <w:rPr>
          <w:rFonts w:ascii="Times New Roman" w:hAnsi="Times New Roman" w:cs="Times New Roman"/>
          <w:bCs/>
          <w:color w:val="000000"/>
          <w:sz w:val="24"/>
          <w:szCs w:val="24"/>
        </w:rPr>
        <w:t>Gensemer</w:t>
      </w:r>
      <w:proofErr w:type="spellEnd"/>
      <w:r w:rsidRPr="00B0189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1037D9">
        <w:rPr>
          <w:rFonts w:ascii="Times New Roman" w:hAnsi="Times New Roman" w:cs="Times New Roman"/>
          <w:bCs/>
          <w:color w:val="000000"/>
          <w:sz w:val="24"/>
          <w:szCs w:val="24"/>
        </w:rPr>
        <w:t>et al.,</w:t>
      </w:r>
      <w:r w:rsidRPr="00B0189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B01895">
        <w:rPr>
          <w:rFonts w:ascii="Times New Roman" w:hAnsi="Times New Roman" w:cs="Times New Roman"/>
          <w:bCs/>
          <w:color w:val="000000"/>
          <w:sz w:val="24"/>
          <w:szCs w:val="24"/>
        </w:rPr>
        <w:t>2018).</w:t>
      </w:r>
      <w:r w:rsidR="00E91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 todos los casos los reportes para este trabajo son los más bajos para la especie</w:t>
      </w:r>
      <w:r w:rsidR="00B3652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91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asociado probablemente con el uso de agua blanda</w:t>
      </w:r>
      <w:r w:rsidR="003175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diferencias </w:t>
      </w:r>
      <w:r w:rsidR="00317591"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que tiende</w:t>
      </w:r>
      <w:r w:rsidR="00B36524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="00317591"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aumentar la toxicidad </w:t>
      </w:r>
      <w:r w:rsidR="003175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ciertas sustancias </w:t>
      </w:r>
      <w:r w:rsidR="00317591"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(Pérez, 1997</w:t>
      </w:r>
      <w:r w:rsidR="003175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317591"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Segura, </w:t>
      </w:r>
      <w:r w:rsidR="00317591">
        <w:rPr>
          <w:rFonts w:ascii="Times New Roman" w:hAnsi="Times New Roman" w:cs="Times New Roman"/>
          <w:bCs/>
          <w:color w:val="000000"/>
          <w:sz w:val="24"/>
          <w:szCs w:val="24"/>
        </w:rPr>
        <w:t>2007</w:t>
      </w:r>
      <w:r w:rsidR="00317591"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E91AB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A09F5" w:rsidRDefault="008A09F5" w:rsidP="008A09F5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0398E" w:rsidRDefault="008A09F5" w:rsidP="008A09F5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  <w:sectPr w:rsidR="00E0398E" w:rsidSect="00C53437">
          <w:pgSz w:w="12240" w:h="15840" w:code="1"/>
          <w:pgMar w:top="1701" w:right="1701" w:bottom="1701" w:left="1701" w:header="709" w:footer="709" w:gutter="0"/>
          <w:cols w:space="708"/>
          <w:docGrid w:linePitch="360"/>
        </w:sectPr>
      </w:pP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>Para</w:t>
      </w:r>
      <w:r w:rsidRPr="009D1D62">
        <w:rPr>
          <w:rFonts w:ascii="Times New Roman" w:hAnsi="Times New Roman" w:cs="Times New Roman"/>
          <w:i/>
          <w:noProof/>
          <w:sz w:val="24"/>
          <w:szCs w:val="24"/>
          <w:lang w:eastAsia="es-CO"/>
        </w:rPr>
        <w:t xml:space="preserve"> H. attenuata 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>se realizaron diez ensayos (n=10),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>la sensibilidad de la especie con cloruro de sodio evidenció una CE</w:t>
      </w:r>
      <w:r w:rsidRPr="009D1D62">
        <w:rPr>
          <w:rFonts w:ascii="Times New Roman" w:hAnsi="Times New Roman" w:cs="Times New Roman"/>
          <w:noProof/>
          <w:sz w:val="24"/>
          <w:szCs w:val="24"/>
          <w:vertAlign w:val="subscript"/>
          <w:lang w:eastAsia="es-CO"/>
        </w:rPr>
        <w:t xml:space="preserve">50-96h 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>promedio</w:t>
      </w:r>
      <w:r w:rsidRPr="009D1D62">
        <w:rPr>
          <w:rFonts w:ascii="Times New Roman" w:hAnsi="Times New Roman" w:cs="Times New Roman"/>
          <w:noProof/>
          <w:sz w:val="24"/>
          <w:szCs w:val="24"/>
          <w:vertAlign w:val="subscript"/>
          <w:lang w:eastAsia="es-C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de 0.5g/l (0.3-0.7g/l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>) y una CL</w:t>
      </w:r>
      <w:r w:rsidRPr="009D1D62">
        <w:rPr>
          <w:rFonts w:ascii="Times New Roman" w:hAnsi="Times New Roman" w:cs="Times New Roman"/>
          <w:noProof/>
          <w:sz w:val="24"/>
          <w:szCs w:val="24"/>
          <w:vertAlign w:val="subscript"/>
          <w:lang w:eastAsia="es-CO"/>
        </w:rPr>
        <w:t xml:space="preserve">50-96h 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promedio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de 1.0g/l (0.8-1.2g/l), (Fig.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B). 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>Los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bajos coeficientes de variación obtenidos indicaron reproducibilidad de los ensayos y adecuada aclimatación de los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organismos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las condiciones experimentales.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La subletalidad y letalidad con </w:t>
      </w:r>
      <w:r w:rsidRPr="009D1D62">
        <w:rPr>
          <w:rFonts w:ascii="Times New Roman" w:hAnsi="Times New Roman" w:cs="Times New Roman"/>
          <w:i/>
          <w:noProof/>
          <w:sz w:val="24"/>
          <w:szCs w:val="24"/>
          <w:lang w:eastAsia="es-CO"/>
        </w:rPr>
        <w:t>H. attenuata</w:t>
      </w:r>
      <w:r w:rsidR="00B36524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tuvieron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coeficientes de variación del 16,3% y 9,5% respectivamente, para </w:t>
      </w:r>
      <w:r w:rsidRPr="009D1D62">
        <w:rPr>
          <w:rFonts w:ascii="Times New Roman" w:hAnsi="Times New Roman" w:cs="Times New Roman"/>
          <w:i/>
          <w:noProof/>
          <w:sz w:val="24"/>
          <w:szCs w:val="24"/>
          <w:lang w:eastAsia="es-CO"/>
        </w:rPr>
        <w:t>D. magna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 se calculó en un 10,6%, según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U.S.EPA (1990) y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Díaz </w:t>
      </w:r>
      <w:r w:rsidRPr="00097E0D">
        <w:rPr>
          <w:rFonts w:ascii="Times New Roman" w:hAnsi="Times New Roman" w:cs="Times New Roman"/>
          <w:noProof/>
          <w:sz w:val="24"/>
          <w:szCs w:val="24"/>
          <w:lang w:eastAsia="es-CO"/>
        </w:rPr>
        <w:t>et al</w:t>
      </w:r>
      <w:r>
        <w:rPr>
          <w:rFonts w:ascii="Times New Roman" w:hAnsi="Times New Roman" w:cs="Times New Roman"/>
          <w:i/>
          <w:noProof/>
          <w:sz w:val="24"/>
          <w:szCs w:val="24"/>
          <w:lang w:eastAsia="es-CO"/>
        </w:rPr>
        <w:t>.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(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>2004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)</w:t>
      </w: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valores por debajo del 25%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</w:t>
      </w:r>
      <w:r w:rsidR="00E0398E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indican la variabilidad  </w:t>
      </w:r>
    </w:p>
    <w:p w:rsidR="00E0398E" w:rsidRDefault="008A09F5" w:rsidP="008A09F5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lastRenderedPageBreak/>
        <w:t>natural de las especies, reproducibilidad de los ensayos y entren</w:t>
      </w:r>
      <w:r w:rsidR="00E0398E">
        <w:rPr>
          <w:rFonts w:ascii="Times New Roman" w:hAnsi="Times New Roman" w:cs="Times New Roman"/>
          <w:noProof/>
          <w:sz w:val="24"/>
          <w:szCs w:val="24"/>
          <w:lang w:eastAsia="es-CO"/>
        </w:rPr>
        <w:t>amiento adecuado del observador.</w:t>
      </w:r>
    </w:p>
    <w:p w:rsidR="00E0398E" w:rsidRDefault="00E0398E" w:rsidP="008A09F5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</w:p>
    <w:p w:rsidR="00E0398E" w:rsidRDefault="00E0398E" w:rsidP="00E0398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279A149F" wp14:editId="5D15E430">
            <wp:extent cx="3943350" cy="24765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2BDFE9C5" wp14:editId="4817E65C">
            <wp:extent cx="3933825" cy="2476500"/>
            <wp:effectExtent l="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33E16" w:rsidRDefault="00933E16" w:rsidP="00E0398E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0398E" w:rsidRDefault="00E0398E" w:rsidP="00E0398E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Fig. B</w:t>
      </w:r>
      <w:r w:rsidRPr="00C944E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9D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Carta Control de Sensibilidad (</w:t>
      </w:r>
      <w:r w:rsidRPr="00F9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letalidad; </w:t>
      </w:r>
      <w:r w:rsidRPr="00F9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ubletalidad</w:t>
      </w:r>
      <w:proofErr w:type="spellEnd"/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para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H.</w:t>
      </w:r>
      <w:r w:rsidRPr="009D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D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>attenuata</w:t>
      </w:r>
      <w:proofErr w:type="spellEnd"/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con </w:t>
      </w:r>
      <w:proofErr w:type="spellStart"/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NaCl</w:t>
      </w:r>
      <w:proofErr w:type="spellEnd"/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como tóxico de referencia.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9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CV: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coeficiente de variación; </w:t>
      </w:r>
      <w:r w:rsidRPr="00F9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DS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: desviación estándar.</w:t>
      </w:r>
    </w:p>
    <w:p w:rsidR="00E0398E" w:rsidRDefault="00E0398E" w:rsidP="00E0398E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0398E" w:rsidRDefault="00E0398E" w:rsidP="00E0398E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Fig. B. </w:t>
      </w:r>
      <w:proofErr w:type="spellStart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>Sensitivity</w:t>
      </w:r>
      <w:proofErr w:type="spellEnd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control chart (</w:t>
      </w:r>
      <w:r w:rsidRPr="00937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A: </w:t>
      </w:r>
      <w:proofErr w:type="spellStart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>lethality</w:t>
      </w:r>
      <w:proofErr w:type="spellEnd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Pr="00937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B: </w:t>
      </w:r>
      <w:proofErr w:type="spellStart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>sublethality</w:t>
      </w:r>
      <w:proofErr w:type="spellEnd"/>
      <w:r w:rsidRPr="00937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proofErr w:type="spellStart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>for</w:t>
      </w:r>
      <w:proofErr w:type="spellEnd"/>
      <w:r w:rsidRPr="00937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703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H. </w:t>
      </w:r>
      <w:proofErr w:type="spellStart"/>
      <w:r w:rsidRPr="00937031">
        <w:rPr>
          <w:rFonts w:ascii="Times New Roman" w:hAnsi="Times New Roman" w:cs="Times New Roman"/>
          <w:bCs/>
          <w:i/>
          <w:color w:val="000000"/>
          <w:sz w:val="24"/>
          <w:szCs w:val="24"/>
        </w:rPr>
        <w:t>attenuata</w:t>
      </w:r>
      <w:proofErr w:type="spellEnd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>NaCl</w:t>
      </w:r>
      <w:proofErr w:type="spellEnd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 a </w:t>
      </w:r>
      <w:proofErr w:type="spellStart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>reference</w:t>
      </w:r>
      <w:proofErr w:type="spellEnd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>toxicant</w:t>
      </w:r>
      <w:proofErr w:type="spellEnd"/>
      <w:r w:rsidRPr="009370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20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CV:</w:t>
      </w:r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>coefficient</w:t>
      </w:r>
      <w:proofErr w:type="spellEnd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>variation</w:t>
      </w:r>
      <w:proofErr w:type="spellEnd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420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SD</w:t>
      </w:r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standard </w:t>
      </w:r>
      <w:proofErr w:type="spellStart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>deviation</w:t>
      </w:r>
      <w:proofErr w:type="spellEnd"/>
      <w:r w:rsidRPr="004202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E0398E" w:rsidRDefault="00E0398E" w:rsidP="00E0398E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0398E" w:rsidRDefault="00E0398E" w:rsidP="00E0398E">
      <w:pPr>
        <w:pStyle w:val="Textocomentario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  <w:sectPr w:rsidR="00E0398E" w:rsidSect="00E0398E">
          <w:pgSz w:w="15840" w:h="12240" w:orient="landscape" w:code="1"/>
          <w:pgMar w:top="1701" w:right="1701" w:bottom="170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Para </w:t>
      </w:r>
      <w:r w:rsidRPr="00CE6501">
        <w:rPr>
          <w:rFonts w:ascii="Times New Roman" w:hAnsi="Times New Roman" w:cs="Times New Roman"/>
          <w:i/>
          <w:noProof/>
          <w:sz w:val="24"/>
          <w:szCs w:val="24"/>
          <w:lang w:eastAsia="es-CO"/>
        </w:rPr>
        <w:t>H. attenuata</w:t>
      </w:r>
      <w:r w:rsidRPr="00CE6501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la sensibilidad </w:t>
      </w:r>
      <w:r w:rsidRPr="00CE6501">
        <w:rPr>
          <w:rFonts w:ascii="Times New Roman" w:hAnsi="Times New Roman" w:cs="Times New Roman"/>
          <w:noProof/>
          <w:sz w:val="24"/>
          <w:szCs w:val="24"/>
          <w:lang w:eastAsia="es-CO"/>
        </w:rPr>
        <w:t>(CL</w:t>
      </w:r>
      <w:r w:rsidRPr="00CE6501">
        <w:rPr>
          <w:rFonts w:ascii="Times New Roman" w:hAnsi="Times New Roman" w:cs="Times New Roman"/>
          <w:noProof/>
          <w:sz w:val="24"/>
          <w:szCs w:val="24"/>
          <w:vertAlign w:val="subscript"/>
          <w:lang w:eastAsia="es-CO"/>
        </w:rPr>
        <w:t xml:space="preserve">50-96h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de 1.0g/l (0.8-1.2</w:t>
      </w:r>
      <w:r w:rsidRPr="00CE6501">
        <w:rPr>
          <w:rFonts w:ascii="Times New Roman" w:hAnsi="Times New Roman" w:cs="Times New Roman"/>
          <w:noProof/>
          <w:sz w:val="24"/>
          <w:szCs w:val="24"/>
          <w:lang w:eastAsia="es-CO"/>
        </w:rPr>
        <w:t>g/l)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; </w:t>
      </w:r>
      <w:r w:rsidRPr="00CE6501">
        <w:rPr>
          <w:rFonts w:ascii="Times New Roman" w:hAnsi="Times New Roman" w:cs="Times New Roman"/>
          <w:noProof/>
          <w:sz w:val="24"/>
          <w:szCs w:val="24"/>
          <w:lang w:eastAsia="es-CO"/>
        </w:rPr>
        <w:t>CE</w:t>
      </w:r>
      <w:r w:rsidRPr="00CE6501">
        <w:rPr>
          <w:rFonts w:ascii="Times New Roman" w:hAnsi="Times New Roman" w:cs="Times New Roman"/>
          <w:noProof/>
          <w:sz w:val="24"/>
          <w:szCs w:val="24"/>
          <w:vertAlign w:val="subscript"/>
          <w:lang w:eastAsia="es-CO"/>
        </w:rPr>
        <w:t xml:space="preserve">50-96h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de 0.5g/l (0.3-0.</w:t>
      </w:r>
      <w:r w:rsidRPr="00CE6501">
        <w:rPr>
          <w:rFonts w:ascii="Times New Roman" w:hAnsi="Times New Roman" w:cs="Times New Roman"/>
          <w:noProof/>
          <w:sz w:val="24"/>
          <w:szCs w:val="24"/>
          <w:lang w:eastAsia="es-CO"/>
        </w:rPr>
        <w:t>7g/l)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)</w:t>
      </w:r>
      <w:r w:rsidRPr="00CE6501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, está por debajo de lo señalado por Santos </w:t>
      </w:r>
      <w:r w:rsidRPr="00F51175">
        <w:rPr>
          <w:rFonts w:ascii="Times New Roman" w:hAnsi="Times New Roman" w:cs="Times New Roman"/>
          <w:noProof/>
          <w:sz w:val="24"/>
          <w:szCs w:val="24"/>
          <w:lang w:eastAsia="es-CO"/>
        </w:rPr>
        <w:t>et al</w:t>
      </w:r>
      <w:r w:rsidRPr="00CE6501">
        <w:rPr>
          <w:rFonts w:ascii="Times New Roman" w:hAnsi="Times New Roman" w:cs="Times New Roman"/>
          <w:i/>
          <w:noProof/>
          <w:sz w:val="24"/>
          <w:szCs w:val="24"/>
          <w:lang w:eastAsia="es-CO"/>
        </w:rPr>
        <w:t>.</w:t>
      </w:r>
      <w:r w:rsidRPr="00CE6501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 (2007) con una CL</w:t>
      </w:r>
      <w:r w:rsidRPr="00CE6501">
        <w:rPr>
          <w:rFonts w:ascii="Times New Roman" w:hAnsi="Times New Roman" w:cs="Times New Roman"/>
          <w:noProof/>
          <w:sz w:val="24"/>
          <w:szCs w:val="24"/>
          <w:vertAlign w:val="subscript"/>
          <w:lang w:eastAsia="es-CO"/>
        </w:rPr>
        <w:t xml:space="preserve">50-96h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de 2.57g/l (2.9g/l-2.1</w:t>
      </w:r>
      <w:r w:rsidRPr="00CE6501">
        <w:rPr>
          <w:rFonts w:ascii="Times New Roman" w:hAnsi="Times New Roman" w:cs="Times New Roman"/>
          <w:noProof/>
          <w:sz w:val="24"/>
          <w:szCs w:val="24"/>
          <w:lang w:eastAsia="es-CO"/>
        </w:rPr>
        <w:t>g/l) y una CE</w:t>
      </w:r>
      <w:r w:rsidRPr="00CE6501">
        <w:rPr>
          <w:rFonts w:ascii="Times New Roman" w:hAnsi="Times New Roman" w:cs="Times New Roman"/>
          <w:noProof/>
          <w:sz w:val="24"/>
          <w:szCs w:val="24"/>
          <w:vertAlign w:val="subscript"/>
          <w:lang w:eastAsia="es-CO"/>
        </w:rPr>
        <w:t xml:space="preserve">50-96h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>1.44g/l (1.1g/l-1.6</w:t>
      </w:r>
      <w:r w:rsidRPr="00CE6501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g/l), </w: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esta diferencia se explica porque los </w:t>
      </w:r>
      <w:r w:rsidRPr="00CE6501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autores </w:t>
      </w:r>
      <w:r w:rsidR="002F7D01">
        <w:rPr>
          <w:rFonts w:ascii="Times New Roman" w:hAnsi="Times New Roman" w:cs="Times New Roman"/>
          <w:noProof/>
          <w:sz w:val="24"/>
          <w:szCs w:val="24"/>
          <w:lang w:eastAsia="es-CO"/>
        </w:rPr>
        <w:t xml:space="preserve">utilizaron </w:t>
      </w:r>
      <w:r w:rsidR="002F7D01">
        <w:rPr>
          <w:rFonts w:ascii="Times New Roman" w:hAnsi="Times New Roman" w:cs="Times New Roman"/>
          <w:sz w:val="24"/>
          <w:szCs w:val="24"/>
        </w:rPr>
        <w:t xml:space="preserve">como medio de cultivo </w:t>
      </w:r>
      <w:r>
        <w:rPr>
          <w:rFonts w:ascii="Times New Roman" w:hAnsi="Times New Roman" w:cs="Times New Roman"/>
          <w:sz w:val="24"/>
          <w:szCs w:val="24"/>
        </w:rPr>
        <w:t>agua reconstituida (147</w:t>
      </w:r>
      <w:r w:rsidRPr="00CE6501">
        <w:rPr>
          <w:rFonts w:ascii="Times New Roman" w:hAnsi="Times New Roman" w:cs="Times New Roman"/>
          <w:sz w:val="24"/>
          <w:szCs w:val="24"/>
        </w:rPr>
        <w:t>mg/l CaCl</w:t>
      </w:r>
      <w:r w:rsidRPr="00CE650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110mg/l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Buffer, pH: 7.0+/-0.</w:t>
      </w:r>
      <w:r w:rsidRPr="00CE6501">
        <w:rPr>
          <w:rFonts w:ascii="Times New Roman" w:hAnsi="Times New Roman" w:cs="Times New Roman"/>
          <w:sz w:val="24"/>
          <w:szCs w:val="24"/>
        </w:rPr>
        <w:t xml:space="preserve">1) sin adición de EDTA, una </w:t>
      </w:r>
      <w:r>
        <w:rPr>
          <w:rFonts w:ascii="Times New Roman" w:hAnsi="Times New Roman" w:cs="Times New Roman"/>
          <w:sz w:val="24"/>
          <w:szCs w:val="24"/>
        </w:rPr>
        <w:t>temperatura de 22±</w:t>
      </w:r>
      <w:r w:rsidRPr="00CE6501">
        <w:rPr>
          <w:rFonts w:ascii="Times New Roman" w:hAnsi="Times New Roman" w:cs="Times New Roman"/>
          <w:sz w:val="24"/>
          <w:szCs w:val="24"/>
        </w:rPr>
        <w:t>1ºC y un fotoperiod</w:t>
      </w:r>
      <w:r>
        <w:rPr>
          <w:rFonts w:ascii="Times New Roman" w:hAnsi="Times New Roman" w:cs="Times New Roman"/>
          <w:sz w:val="24"/>
          <w:szCs w:val="24"/>
        </w:rPr>
        <w:t>o de 12h/12h-luz/oscuridad, l</w:t>
      </w:r>
      <w:r w:rsidRPr="00CE6501">
        <w:rPr>
          <w:rFonts w:ascii="Times New Roman" w:hAnsi="Times New Roman" w:cs="Times New Roman"/>
          <w:sz w:val="24"/>
          <w:szCs w:val="24"/>
        </w:rPr>
        <w:t xml:space="preserve">a alimentación se realizó con </w:t>
      </w:r>
      <w:r>
        <w:rPr>
          <w:rFonts w:ascii="Times New Roman" w:hAnsi="Times New Roman" w:cs="Times New Roman"/>
          <w:i/>
          <w:sz w:val="24"/>
          <w:szCs w:val="24"/>
        </w:rPr>
        <w:t>A.</w:t>
      </w:r>
      <w:r w:rsidRPr="00CE6501">
        <w:rPr>
          <w:rFonts w:ascii="Times New Roman" w:hAnsi="Times New Roman" w:cs="Times New Roman"/>
          <w:i/>
          <w:sz w:val="24"/>
          <w:szCs w:val="24"/>
        </w:rPr>
        <w:t xml:space="preserve"> salina</w:t>
      </w:r>
      <w:r w:rsidR="00933E16">
        <w:rPr>
          <w:rFonts w:ascii="Times New Roman" w:hAnsi="Times New Roman" w:cs="Times New Roman"/>
          <w:sz w:val="24"/>
          <w:szCs w:val="24"/>
        </w:rPr>
        <w:t xml:space="preserve"> tres veces por semana. </w:t>
      </w:r>
      <w:r w:rsidR="00933E16">
        <w:rPr>
          <w:rFonts w:ascii="Times New Roman" w:hAnsi="Times New Roman" w:cs="Times New Roman"/>
          <w:sz w:val="24"/>
          <w:szCs w:val="24"/>
        </w:rPr>
        <w:t>C</w:t>
      </w:r>
      <w:r w:rsidR="00933E16" w:rsidRPr="00CE6501">
        <w:rPr>
          <w:rFonts w:ascii="Times New Roman" w:hAnsi="Times New Roman" w:cs="Times New Roman"/>
          <w:sz w:val="24"/>
          <w:szCs w:val="24"/>
        </w:rPr>
        <w:t xml:space="preserve">ondiciones y medio de cultivo </w:t>
      </w:r>
      <w:r w:rsidR="00933E16">
        <w:rPr>
          <w:rFonts w:ascii="Times New Roman" w:hAnsi="Times New Roman" w:cs="Times New Roman"/>
          <w:sz w:val="24"/>
          <w:szCs w:val="24"/>
        </w:rPr>
        <w:t>para las dos investigaciones que difieren y que podría explicar las variaciones</w:t>
      </w:r>
      <w:r w:rsidR="00933E16">
        <w:rPr>
          <w:rFonts w:ascii="Times New Roman" w:hAnsi="Times New Roman" w:cs="Times New Roman"/>
          <w:sz w:val="24"/>
          <w:szCs w:val="24"/>
        </w:rPr>
        <w:t xml:space="preserve"> en los resultados obtenidos. </w:t>
      </w:r>
    </w:p>
    <w:p w:rsidR="00937031" w:rsidRPr="00933E16" w:rsidRDefault="008A09F5" w:rsidP="00933E16">
      <w:pPr>
        <w:pStyle w:val="Textocomentario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CO"/>
        </w:rPr>
      </w:pPr>
      <w:r w:rsidRPr="009D1D62">
        <w:rPr>
          <w:rFonts w:ascii="Times New Roman" w:hAnsi="Times New Roman" w:cs="Times New Roman"/>
          <w:noProof/>
          <w:sz w:val="24"/>
          <w:szCs w:val="24"/>
          <w:lang w:eastAsia="es-CO"/>
        </w:rPr>
        <w:lastRenderedPageBreak/>
        <w:t xml:space="preserve"> </w:t>
      </w:r>
      <w:r w:rsidR="00937031" w:rsidRPr="00933E16">
        <w:rPr>
          <w:rFonts w:ascii="Times New Roman" w:hAnsi="Times New Roman" w:cs="Times New Roman"/>
          <w:bCs/>
          <w:color w:val="000000"/>
          <w:sz w:val="24"/>
          <w:szCs w:val="24"/>
        </w:rPr>
        <w:t>REFERENCIAS</w:t>
      </w:r>
    </w:p>
    <w:p w:rsidR="00B31496" w:rsidRPr="00933E16" w:rsidRDefault="00B31496" w:rsidP="00937031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7031" w:rsidRPr="0048343E" w:rsidRDefault="00937031" w:rsidP="0093703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US" w:eastAsia="es-CO"/>
        </w:rPr>
      </w:pPr>
      <w:r w:rsidRPr="00933E16">
        <w:rPr>
          <w:rFonts w:ascii="Times New Roman" w:hAnsi="Times New Roman" w:cs="Times New Roman"/>
          <w:sz w:val="20"/>
          <w:szCs w:val="20"/>
          <w:lang w:eastAsia="es-CO"/>
        </w:rPr>
        <w:t xml:space="preserve">Blaise, C., &amp; </w:t>
      </w:r>
      <w:proofErr w:type="spellStart"/>
      <w:r w:rsidRPr="00933E16">
        <w:rPr>
          <w:rFonts w:ascii="Times New Roman" w:hAnsi="Times New Roman" w:cs="Times New Roman"/>
          <w:sz w:val="20"/>
          <w:szCs w:val="20"/>
          <w:lang w:eastAsia="es-CO"/>
        </w:rPr>
        <w:t>Kusui</w:t>
      </w:r>
      <w:proofErr w:type="spellEnd"/>
      <w:r w:rsidRPr="00933E16">
        <w:rPr>
          <w:rFonts w:ascii="Times New Roman" w:hAnsi="Times New Roman" w:cs="Times New Roman"/>
          <w:sz w:val="20"/>
          <w:szCs w:val="20"/>
          <w:lang w:eastAsia="es-CO"/>
        </w:rPr>
        <w:t xml:space="preserve">, T. (1997). </w:t>
      </w:r>
      <w:proofErr w:type="spellStart"/>
      <w:r w:rsidRPr="00933E16">
        <w:rPr>
          <w:rFonts w:ascii="Times New Roman" w:hAnsi="Times New Roman" w:cs="Times New Roman"/>
          <w:sz w:val="20"/>
          <w:szCs w:val="20"/>
          <w:lang w:eastAsia="es-CO"/>
        </w:rPr>
        <w:t>Acute</w:t>
      </w:r>
      <w:proofErr w:type="spellEnd"/>
      <w:r w:rsidRPr="00933E16">
        <w:rPr>
          <w:rFonts w:ascii="Times New Roman" w:hAnsi="Times New Roman" w:cs="Times New Roman"/>
          <w:sz w:val="20"/>
          <w:szCs w:val="20"/>
          <w:lang w:eastAsia="es-CO"/>
        </w:rPr>
        <w:t xml:space="preserve"> </w:t>
      </w:r>
      <w:proofErr w:type="spellStart"/>
      <w:r w:rsidRPr="00933E16">
        <w:rPr>
          <w:rFonts w:ascii="Times New Roman" w:hAnsi="Times New Roman" w:cs="Times New Roman"/>
          <w:sz w:val="20"/>
          <w:szCs w:val="20"/>
          <w:lang w:eastAsia="es-CO"/>
        </w:rPr>
        <w:t>toxicity</w:t>
      </w:r>
      <w:proofErr w:type="spellEnd"/>
      <w:r w:rsidRPr="00933E16">
        <w:rPr>
          <w:rFonts w:ascii="Times New Roman" w:hAnsi="Times New Roman" w:cs="Times New Roman"/>
          <w:sz w:val="20"/>
          <w:szCs w:val="20"/>
          <w:lang w:eastAsia="es-CO"/>
        </w:rPr>
        <w:t xml:space="preserve"> </w:t>
      </w:r>
      <w:proofErr w:type="spellStart"/>
      <w:r w:rsidRPr="00933E16">
        <w:rPr>
          <w:rFonts w:ascii="Times New Roman" w:hAnsi="Times New Roman" w:cs="Times New Roman"/>
          <w:sz w:val="20"/>
          <w:szCs w:val="20"/>
          <w:lang w:eastAsia="es-CO"/>
        </w:rPr>
        <w:t>assessment</w:t>
      </w:r>
      <w:proofErr w:type="spellEnd"/>
      <w:r w:rsidRPr="00933E16">
        <w:rPr>
          <w:rFonts w:ascii="Times New Roman" w:hAnsi="Times New Roman" w:cs="Times New Roman"/>
          <w:sz w:val="20"/>
          <w:szCs w:val="20"/>
          <w:lang w:eastAsia="es-CO"/>
        </w:rPr>
        <w:t xml:space="preserve"> of industrial </w:t>
      </w:r>
      <w:proofErr w:type="spellStart"/>
      <w:r w:rsidRPr="00933E16">
        <w:rPr>
          <w:rFonts w:ascii="Times New Roman" w:hAnsi="Times New Roman" w:cs="Times New Roman"/>
          <w:sz w:val="20"/>
          <w:szCs w:val="20"/>
          <w:lang w:eastAsia="es-CO"/>
        </w:rPr>
        <w:t>effluents</w:t>
      </w:r>
      <w:proofErr w:type="spellEnd"/>
      <w:r w:rsidRPr="00933E16">
        <w:rPr>
          <w:rFonts w:ascii="Times New Roman" w:hAnsi="Times New Roman" w:cs="Times New Roman"/>
          <w:sz w:val="20"/>
          <w:szCs w:val="20"/>
          <w:lang w:eastAsia="es-CO"/>
        </w:rPr>
        <w:t xml:space="preserve"> </w:t>
      </w:r>
      <w:proofErr w:type="spellStart"/>
      <w:r w:rsidRPr="00933E16">
        <w:rPr>
          <w:rFonts w:ascii="Times New Roman" w:hAnsi="Times New Roman" w:cs="Times New Roman"/>
          <w:sz w:val="20"/>
          <w:szCs w:val="20"/>
          <w:lang w:eastAsia="es-CO"/>
        </w:rPr>
        <w:t>with</w:t>
      </w:r>
      <w:proofErr w:type="spellEnd"/>
      <w:r w:rsidRPr="00933E16">
        <w:rPr>
          <w:rFonts w:ascii="Times New Roman" w:hAnsi="Times New Roman" w:cs="Times New Roman"/>
          <w:sz w:val="20"/>
          <w:szCs w:val="20"/>
          <w:lang w:eastAsia="es-CO"/>
        </w:rPr>
        <w:t xml:space="preserve"> a </w:t>
      </w:r>
      <w:proofErr w:type="spellStart"/>
      <w:r w:rsidRPr="00933E16">
        <w:rPr>
          <w:rFonts w:ascii="Times New Roman" w:hAnsi="Times New Roman" w:cs="Times New Roman"/>
          <w:sz w:val="20"/>
          <w:szCs w:val="20"/>
          <w:lang w:eastAsia="es-CO"/>
        </w:rPr>
        <w:t>microplate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 w:eastAsia="es-CO"/>
        </w:rPr>
        <w:t xml:space="preserve">-based </w:t>
      </w:r>
      <w:r w:rsidRPr="0048343E">
        <w:rPr>
          <w:rFonts w:ascii="Times New Roman" w:hAnsi="Times New Roman" w:cs="Times New Roman"/>
          <w:i/>
          <w:sz w:val="20"/>
          <w:szCs w:val="20"/>
          <w:lang w:val="en-US" w:eastAsia="es-CO"/>
        </w:rPr>
        <w:t xml:space="preserve">Hydra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 w:eastAsia="es-CO"/>
        </w:rPr>
        <w:t>attenuata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 w:eastAsia="es-CO"/>
        </w:rPr>
        <w:t xml:space="preserve"> assay. </w:t>
      </w:r>
      <w:r w:rsidRPr="0048343E">
        <w:rPr>
          <w:rFonts w:ascii="Times New Roman" w:hAnsi="Times New Roman" w:cs="Times New Roman"/>
          <w:i/>
          <w:sz w:val="20"/>
          <w:szCs w:val="20"/>
          <w:lang w:val="en-US" w:eastAsia="es-CO"/>
        </w:rPr>
        <w:t xml:space="preserve">Environmental Toxicology, </w:t>
      </w:r>
      <w:r w:rsidRPr="0048343E">
        <w:rPr>
          <w:rFonts w:ascii="Times New Roman" w:hAnsi="Times New Roman" w:cs="Times New Roman"/>
          <w:sz w:val="20"/>
          <w:szCs w:val="20"/>
          <w:lang w:val="en-US" w:eastAsia="es-CO"/>
        </w:rPr>
        <w:t>12, 53-60.</w:t>
      </w:r>
    </w:p>
    <w:p w:rsidR="00937031" w:rsidRPr="00937031" w:rsidRDefault="00937031" w:rsidP="00937031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</w:pP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37031">
        <w:rPr>
          <w:rFonts w:ascii="Times New Roman" w:hAnsi="Times New Roman" w:cs="Times New Roman"/>
          <w:sz w:val="20"/>
          <w:szCs w:val="20"/>
          <w:lang w:val="en-US"/>
        </w:rPr>
        <w:t xml:space="preserve">Cowgill, U. M., &amp; </w:t>
      </w:r>
      <w:proofErr w:type="spellStart"/>
      <w:r w:rsidRPr="00937031">
        <w:rPr>
          <w:rFonts w:ascii="Times New Roman" w:hAnsi="Times New Roman" w:cs="Times New Roman"/>
          <w:sz w:val="20"/>
          <w:szCs w:val="20"/>
          <w:lang w:val="en-US"/>
        </w:rPr>
        <w:t>Milazzo</w:t>
      </w:r>
      <w:proofErr w:type="spellEnd"/>
      <w:r w:rsidRPr="00937031">
        <w:rPr>
          <w:rFonts w:ascii="Times New Roman" w:hAnsi="Times New Roman" w:cs="Times New Roman"/>
          <w:sz w:val="20"/>
          <w:szCs w:val="20"/>
          <w:lang w:val="en-US"/>
        </w:rPr>
        <w:t xml:space="preserve">, D. P. (1990). </w:t>
      </w:r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The sensitivity of two </w:t>
      </w:r>
      <w:proofErr w:type="spellStart"/>
      <w:r w:rsidRPr="0048343E">
        <w:rPr>
          <w:rFonts w:ascii="Times New Roman" w:hAnsi="Times New Roman" w:cs="Times New Roman"/>
          <w:sz w:val="20"/>
          <w:szCs w:val="20"/>
          <w:lang w:val="en-US"/>
        </w:rPr>
        <w:t>cladocerans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 to water quality variables: salinity and hardness.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Archiv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f</w:t>
      </w:r>
      <w:r w:rsidRPr="0048343E">
        <w:rPr>
          <w:rStyle w:val="nfasis"/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ü</w:t>
      </w:r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r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Hidrobiologie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,</w:t>
      </w:r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 120(2), 185-196.</w:t>
      </w: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Cowgill, U. M., &amp; </w:t>
      </w:r>
      <w:proofErr w:type="spellStart"/>
      <w:r w:rsidRPr="0048343E">
        <w:rPr>
          <w:rFonts w:ascii="Times New Roman" w:hAnsi="Times New Roman" w:cs="Times New Roman"/>
          <w:sz w:val="20"/>
          <w:szCs w:val="20"/>
          <w:lang w:val="en-US"/>
        </w:rPr>
        <w:t>Milazzo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, D. P. (1991). Demographic effects of salinity, water hardness and carbonate alkalinity on </w:t>
      </w:r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Daphnia magna</w:t>
      </w:r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Ceriodaphnia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dubia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</w:rPr>
        <w:t>Archiv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</w:rPr>
        <w:t>f</w:t>
      </w:r>
      <w:r w:rsidRPr="0048343E">
        <w:rPr>
          <w:rStyle w:val="nfasis"/>
          <w:rFonts w:ascii="Times New Roman" w:hAnsi="Times New Roman" w:cs="Times New Roman"/>
          <w:bCs/>
          <w:sz w:val="20"/>
          <w:szCs w:val="20"/>
          <w:shd w:val="clear" w:color="auto" w:fill="FFFFFF"/>
        </w:rPr>
        <w:t>ü</w:t>
      </w:r>
      <w:r w:rsidRPr="0048343E">
        <w:rPr>
          <w:rFonts w:ascii="Times New Roman" w:hAnsi="Times New Roman" w:cs="Times New Roman"/>
          <w:i/>
          <w:sz w:val="20"/>
          <w:szCs w:val="20"/>
        </w:rPr>
        <w:t>r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</w:rPr>
        <w:t>Hydrobiologie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48343E">
        <w:rPr>
          <w:rFonts w:ascii="Times New Roman" w:hAnsi="Times New Roman" w:cs="Times New Roman"/>
          <w:sz w:val="20"/>
          <w:szCs w:val="20"/>
        </w:rPr>
        <w:t>122(1), 35-56.</w:t>
      </w: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031" w:rsidRPr="00577210" w:rsidRDefault="00577210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77210">
        <w:rPr>
          <w:rFonts w:ascii="Times New Roman" w:hAnsi="Times New Roman" w:cs="Times New Roman"/>
          <w:bCs/>
          <w:sz w:val="20"/>
          <w:szCs w:val="20"/>
        </w:rPr>
        <w:t xml:space="preserve">Díaz-Báez, M. C., Bustos-López, M. C., &amp; Espinosa- Ramírez, A. J. (2004). </w:t>
      </w:r>
      <w:r w:rsidRPr="00577210">
        <w:rPr>
          <w:rFonts w:ascii="Times New Roman" w:hAnsi="Times New Roman" w:cs="Times New Roman"/>
          <w:bCs/>
          <w:i/>
          <w:sz w:val="20"/>
          <w:szCs w:val="20"/>
        </w:rPr>
        <w:t>Pruebas de Toxicidad acuática: Fundamentos y métodos</w:t>
      </w:r>
      <w:r w:rsidRPr="00577210">
        <w:rPr>
          <w:rFonts w:ascii="Times New Roman" w:hAnsi="Times New Roman" w:cs="Times New Roman"/>
          <w:bCs/>
          <w:sz w:val="20"/>
          <w:szCs w:val="20"/>
        </w:rPr>
        <w:t>. Bogotá, D.C: Editorial UNIBIBLOS, Universidad Nacional de Colombia.</w:t>
      </w:r>
    </w:p>
    <w:p w:rsidR="00577210" w:rsidRPr="00577210" w:rsidRDefault="00577210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37031" w:rsidRPr="0048343E" w:rsidRDefault="00937031" w:rsidP="009370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48343E">
        <w:rPr>
          <w:rFonts w:ascii="Times New Roman" w:hAnsi="Times New Roman" w:cs="Times New Roman"/>
          <w:bCs/>
          <w:sz w:val="20"/>
          <w:szCs w:val="20"/>
          <w:lang w:val="en-US"/>
        </w:rPr>
        <w:t>Dutka</w:t>
      </w:r>
      <w:proofErr w:type="spellEnd"/>
      <w:r w:rsidRPr="0048343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B. J. (1989). Methods for microbiological and toxicological analysis of waters, wastewaters and sediments. </w:t>
      </w:r>
      <w:r w:rsidRPr="0048343E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National Water Research Institute </w:t>
      </w:r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en-US"/>
        </w:rPr>
        <w:t>(NWRI</w:t>
      </w:r>
      <w:r w:rsidRPr="0048343E">
        <w:rPr>
          <w:rFonts w:ascii="Times New Roman" w:hAnsi="Times New Roman" w:cs="Times New Roman"/>
          <w:iCs/>
          <w:sz w:val="20"/>
          <w:szCs w:val="20"/>
          <w:shd w:val="clear" w:color="auto" w:fill="FFFFFF"/>
          <w:lang w:val="en-US"/>
        </w:rPr>
        <w:t xml:space="preserve">), </w:t>
      </w:r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en-US"/>
        </w:rPr>
        <w:t>Canada Centre of Inland Water, Ontario, Canada</w:t>
      </w:r>
      <w:r w:rsidRPr="0048343E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Pr="0048343E">
        <w:rPr>
          <w:rFonts w:ascii="Times New Roman" w:hAnsi="Times New Roman" w:cs="Times New Roman"/>
          <w:bCs/>
          <w:sz w:val="20"/>
          <w:szCs w:val="20"/>
          <w:lang w:val="en-US"/>
        </w:rPr>
        <w:t>1-185.</w:t>
      </w:r>
    </w:p>
    <w:p w:rsidR="00937031" w:rsidRPr="00937031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proofErr w:type="spellStart"/>
      <w:r w:rsidRPr="00937031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Gensemer</w:t>
      </w:r>
      <w:proofErr w:type="spellEnd"/>
      <w:r w:rsidRPr="00937031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R. W., </w:t>
      </w:r>
      <w:proofErr w:type="spellStart"/>
      <w:r w:rsidRPr="00937031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Gondek</w:t>
      </w:r>
      <w:proofErr w:type="spellEnd"/>
      <w:r w:rsidRPr="00937031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J. C., Rodríguez, P. H., </w:t>
      </w:r>
      <w:proofErr w:type="spellStart"/>
      <w:r w:rsidRPr="00937031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Arbildua</w:t>
      </w:r>
      <w:proofErr w:type="spellEnd"/>
      <w:r w:rsidRPr="00937031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J. J., Stubblefield, W. A., Cardwell, A. S., </w:t>
      </w:r>
      <w:proofErr w:type="spellStart"/>
      <w:r w:rsidRPr="00937031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Nordheim</w:t>
      </w:r>
      <w:proofErr w:type="spellEnd"/>
      <w:r w:rsidRPr="00937031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E., et al. </w:t>
      </w:r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(2018). Evaluating the effects of pH, hardness, and dissolved organic carbon on the toxicity of aluminum to freshwater aquatic organisms under </w:t>
      </w:r>
      <w:proofErr w:type="spellStart"/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circumneutral</w:t>
      </w:r>
      <w:proofErr w:type="spellEnd"/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conditions. </w:t>
      </w:r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en-US"/>
        </w:rPr>
        <w:t>Environmental Toxicology and Chemistry</w:t>
      </w:r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, </w:t>
      </w:r>
      <w:r w:rsidRPr="0048343E">
        <w:rPr>
          <w:rFonts w:ascii="Times New Roman" w:hAnsi="Times New Roman" w:cs="Times New Roman"/>
          <w:iCs/>
          <w:sz w:val="20"/>
          <w:szCs w:val="20"/>
          <w:shd w:val="clear" w:color="auto" w:fill="FFFFFF"/>
          <w:lang w:val="en-US"/>
        </w:rPr>
        <w:t>37</w:t>
      </w:r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(1), 49-60. </w:t>
      </w: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Hong, L. C., Van </w:t>
      </w:r>
      <w:proofErr w:type="spellStart"/>
      <w:r w:rsidRPr="0048343E">
        <w:rPr>
          <w:rFonts w:ascii="Times New Roman" w:hAnsi="Times New Roman" w:cs="Times New Roman"/>
          <w:sz w:val="20"/>
          <w:szCs w:val="20"/>
          <w:lang w:val="en-US"/>
        </w:rPr>
        <w:t>Slooten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, K. B., &amp; </w:t>
      </w:r>
      <w:proofErr w:type="spellStart"/>
      <w:r w:rsidRPr="0048343E">
        <w:rPr>
          <w:rFonts w:ascii="Times New Roman" w:hAnsi="Times New Roman" w:cs="Times New Roman"/>
          <w:sz w:val="20"/>
          <w:szCs w:val="20"/>
          <w:lang w:val="en-US"/>
        </w:rPr>
        <w:t>Tarradellas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, J. (2004). Tropical </w:t>
      </w:r>
      <w:proofErr w:type="spellStart"/>
      <w:r w:rsidRPr="0048343E">
        <w:rPr>
          <w:rFonts w:ascii="Times New Roman" w:hAnsi="Times New Roman" w:cs="Times New Roman"/>
          <w:sz w:val="20"/>
          <w:szCs w:val="20"/>
          <w:lang w:val="en-US"/>
        </w:rPr>
        <w:t>ecotoxicity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 testing with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Ceriodaphnia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cornuta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Environmental Toxicology, </w:t>
      </w:r>
      <w:r w:rsidRPr="0048343E">
        <w:rPr>
          <w:rFonts w:ascii="Times New Roman" w:hAnsi="Times New Roman" w:cs="Times New Roman"/>
          <w:sz w:val="20"/>
          <w:szCs w:val="20"/>
          <w:lang w:val="en-US"/>
        </w:rPr>
        <w:t>19(5), 497-504.</w:t>
      </w: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Mount, D. R., Gulley, D. D., </w:t>
      </w:r>
      <w:proofErr w:type="spellStart"/>
      <w:r w:rsidRPr="0048343E">
        <w:rPr>
          <w:rFonts w:ascii="Times New Roman" w:hAnsi="Times New Roman" w:cs="Times New Roman"/>
          <w:sz w:val="20"/>
          <w:szCs w:val="20"/>
          <w:lang w:val="en-US"/>
        </w:rPr>
        <w:t>Hockett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, J. R., Garrison, T. D., &amp; Evans, J. M. (1997). Statistical models to predict the toxicity of major ions to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Ceriodaphnia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dubia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, Daphnia magna</w:t>
      </w:r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Pimephales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promelas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 (Fathead minnows).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</w:rPr>
        <w:t>Environmental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</w:rPr>
        <w:t>Toxicology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</w:rPr>
        <w:t xml:space="preserve"> and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</w:rPr>
        <w:t>Chemistry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</w:rPr>
        <w:t>,</w:t>
      </w:r>
      <w:r w:rsidRPr="0048343E">
        <w:rPr>
          <w:rFonts w:ascii="Times New Roman" w:hAnsi="Times New Roman" w:cs="Times New Roman"/>
          <w:sz w:val="20"/>
          <w:szCs w:val="20"/>
        </w:rPr>
        <w:t xml:space="preserve"> 16(10), 2009-2019.</w:t>
      </w: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031" w:rsidRPr="0048343E" w:rsidRDefault="00937031" w:rsidP="00937031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8343E">
        <w:rPr>
          <w:rFonts w:ascii="Times New Roman" w:eastAsia="Times New Roman" w:hAnsi="Times New Roman" w:cs="Times New Roman"/>
          <w:sz w:val="20"/>
          <w:szCs w:val="20"/>
        </w:rPr>
        <w:t>Pérez, W. J.</w:t>
      </w:r>
      <w:r w:rsidRPr="004834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(1997). Evaluación del efecto de la dureza sobre el ciclo de vida de </w:t>
      </w:r>
      <w:proofErr w:type="spellStart"/>
      <w:r w:rsidRPr="0048343E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Daphnia</w:t>
      </w:r>
      <w:proofErr w:type="spellEnd"/>
      <w:r w:rsidRPr="0048343E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 xml:space="preserve"> magna: </w:t>
      </w:r>
      <w:r w:rsidRPr="004834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Tesis, Universidad Nacional de Colombia</w:t>
      </w:r>
      <w:r w:rsidRPr="0048343E">
        <w:rPr>
          <w:rFonts w:ascii="Times New Roman" w:eastAsia="Times New Roman" w:hAnsi="Times New Roman" w:cs="Times New Roman"/>
          <w:sz w:val="20"/>
          <w:szCs w:val="20"/>
        </w:rPr>
        <w:t>. Biología</w:t>
      </w:r>
      <w:r w:rsidRPr="004834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48343E">
        <w:rPr>
          <w:rFonts w:ascii="Times New Roman" w:eastAsia="Times New Roman" w:hAnsi="Times New Roman" w:cs="Times New Roman"/>
          <w:sz w:val="20"/>
          <w:szCs w:val="20"/>
        </w:rPr>
        <w:t>Bogotá</w:t>
      </w:r>
      <w:r w:rsidRPr="004834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937031" w:rsidRPr="0048343E" w:rsidRDefault="00937031" w:rsidP="00937031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Santos, M. A. P. F., </w:t>
      </w:r>
      <w:proofErr w:type="spellStart"/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</w:rPr>
        <w:t>Vicensotti</w:t>
      </w:r>
      <w:proofErr w:type="spellEnd"/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J., &amp; </w:t>
      </w:r>
      <w:proofErr w:type="spellStart"/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</w:rPr>
        <w:t>Monteiro</w:t>
      </w:r>
      <w:proofErr w:type="spellEnd"/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R. T. R. (2007). </w:t>
      </w:r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Sensitivity of four test organisms (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Chironomus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xanthus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, Daphnia magna, Hydra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attenuata</w:t>
      </w:r>
      <w:proofErr w:type="spellEnd"/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and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Pseudokirchneriella</w:t>
      </w:r>
      <w:proofErr w:type="spellEnd"/>
      <w:r w:rsidRPr="0048343E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subcapitata</w:t>
      </w:r>
      <w:proofErr w:type="spellEnd"/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) to </w:t>
      </w:r>
      <w:proofErr w:type="spellStart"/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NaCl</w:t>
      </w:r>
      <w:proofErr w:type="spellEnd"/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: an alternative reference toxicant. </w:t>
      </w:r>
      <w:proofErr w:type="spellStart"/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Journal</w:t>
      </w:r>
      <w:proofErr w:type="spellEnd"/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of </w:t>
      </w:r>
      <w:proofErr w:type="spellStart"/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the</w:t>
      </w:r>
      <w:proofErr w:type="spellEnd"/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Brazilian</w:t>
      </w:r>
      <w:proofErr w:type="spellEnd"/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Society</w:t>
      </w:r>
      <w:proofErr w:type="spellEnd"/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of </w:t>
      </w:r>
      <w:proofErr w:type="spellStart"/>
      <w:r w:rsidRPr="0048343E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Ecotoxicology</w:t>
      </w:r>
      <w:proofErr w:type="spellEnd"/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48343E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2</w:t>
      </w:r>
      <w:r w:rsidRPr="0048343E">
        <w:rPr>
          <w:rFonts w:ascii="Times New Roman" w:hAnsi="Times New Roman" w:cs="Times New Roman"/>
          <w:sz w:val="20"/>
          <w:szCs w:val="20"/>
          <w:shd w:val="clear" w:color="auto" w:fill="FFFFFF"/>
        </w:rPr>
        <w:t>(3), 229-236.</w:t>
      </w:r>
    </w:p>
    <w:p w:rsidR="00937031" w:rsidRPr="0048343E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37031" w:rsidRPr="0048343E" w:rsidRDefault="00937031" w:rsidP="00937031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8343E">
        <w:rPr>
          <w:rFonts w:ascii="Times New Roman" w:eastAsia="Times New Roman" w:hAnsi="Times New Roman" w:cs="Times New Roman"/>
          <w:sz w:val="20"/>
          <w:szCs w:val="20"/>
        </w:rPr>
        <w:t xml:space="preserve">Segura, M. (2007). Evaluación de la toxicidad de mezclas binarias de Zinc, Cobre y Níquel utilizando los bioensayos de </w:t>
      </w:r>
      <w:proofErr w:type="spellStart"/>
      <w:r w:rsidRPr="0048343E">
        <w:rPr>
          <w:rFonts w:ascii="Times New Roman" w:eastAsia="Times New Roman" w:hAnsi="Times New Roman" w:cs="Times New Roman"/>
          <w:i/>
          <w:sz w:val="20"/>
          <w:szCs w:val="20"/>
        </w:rPr>
        <w:t>Panagrellus</w:t>
      </w:r>
      <w:proofErr w:type="spellEnd"/>
      <w:r w:rsidRPr="0048343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8343E">
        <w:rPr>
          <w:rFonts w:ascii="Times New Roman" w:eastAsia="Times New Roman" w:hAnsi="Times New Roman" w:cs="Times New Roman"/>
          <w:i/>
          <w:sz w:val="20"/>
          <w:szCs w:val="20"/>
        </w:rPr>
        <w:t>redivivus</w:t>
      </w:r>
      <w:proofErr w:type="spellEnd"/>
      <w:r w:rsidRPr="0048343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48343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8343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8343E">
        <w:rPr>
          <w:rFonts w:ascii="Times New Roman" w:eastAsia="Times New Roman" w:hAnsi="Times New Roman" w:cs="Times New Roman"/>
          <w:i/>
          <w:sz w:val="20"/>
          <w:szCs w:val="20"/>
        </w:rPr>
        <w:t>Hydra</w:t>
      </w:r>
      <w:proofErr w:type="spellEnd"/>
      <w:r w:rsidRPr="0048343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8343E">
        <w:rPr>
          <w:rFonts w:ascii="Times New Roman" w:eastAsia="Times New Roman" w:hAnsi="Times New Roman" w:cs="Times New Roman"/>
          <w:i/>
          <w:sz w:val="20"/>
          <w:szCs w:val="20"/>
        </w:rPr>
        <w:t>attenuatta</w:t>
      </w:r>
      <w:proofErr w:type="spellEnd"/>
      <w:r w:rsidRPr="0048343E">
        <w:rPr>
          <w:rFonts w:ascii="Times New Roman" w:eastAsia="Times New Roman" w:hAnsi="Times New Roman" w:cs="Times New Roman"/>
          <w:sz w:val="20"/>
          <w:szCs w:val="20"/>
        </w:rPr>
        <w:t xml:space="preserve">: Tesis, Universidad Nacional de Colombia, Facultad de Ciencias. </w:t>
      </w:r>
      <w:r w:rsidRPr="0048343E">
        <w:rPr>
          <w:rFonts w:ascii="Times New Roman" w:eastAsia="Times New Roman" w:hAnsi="Times New Roman" w:cs="Times New Roman"/>
          <w:sz w:val="20"/>
          <w:szCs w:val="20"/>
          <w:lang w:val="en-US"/>
        </w:rPr>
        <w:t>Bogotá.</w:t>
      </w:r>
    </w:p>
    <w:p w:rsidR="00937031" w:rsidRPr="0048343E" w:rsidRDefault="00937031" w:rsidP="009370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37031" w:rsidRPr="0048343E" w:rsidRDefault="00937031" w:rsidP="009370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8343E">
        <w:rPr>
          <w:rFonts w:ascii="Times New Roman" w:hAnsi="Times New Roman" w:cs="Times New Roman"/>
          <w:sz w:val="20"/>
          <w:szCs w:val="20"/>
          <w:lang w:val="en-US"/>
        </w:rPr>
        <w:t>Trottier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, S., Blaise, C., </w:t>
      </w:r>
      <w:proofErr w:type="spellStart"/>
      <w:r w:rsidRPr="0048343E">
        <w:rPr>
          <w:rFonts w:ascii="Times New Roman" w:hAnsi="Times New Roman" w:cs="Times New Roman"/>
          <w:sz w:val="20"/>
          <w:szCs w:val="20"/>
          <w:lang w:val="en-US"/>
        </w:rPr>
        <w:t>Kusui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, T., &amp; Johnson, E. M. (1997). Acute toxicity Assessment of Aqueous Samples Using a Microplate-based </w:t>
      </w:r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Hydra </w:t>
      </w:r>
      <w:proofErr w:type="spellStart"/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attenuata</w:t>
      </w:r>
      <w:proofErr w:type="spellEnd"/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 Assay. </w:t>
      </w:r>
      <w:r w:rsidRPr="0048343E">
        <w:rPr>
          <w:rFonts w:ascii="Times New Roman" w:hAnsi="Times New Roman" w:cs="Times New Roman"/>
          <w:i/>
          <w:sz w:val="20"/>
          <w:szCs w:val="20"/>
          <w:lang w:val="en-US"/>
        </w:rPr>
        <w:t>Environmental Toxicology,</w:t>
      </w:r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 12, 265-271. </w:t>
      </w:r>
    </w:p>
    <w:p w:rsidR="00937031" w:rsidRPr="0048343E" w:rsidRDefault="00937031" w:rsidP="00937031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37031" w:rsidRDefault="00937031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43E">
        <w:rPr>
          <w:rFonts w:ascii="Times New Roman" w:hAnsi="Times New Roman" w:cs="Times New Roman"/>
          <w:sz w:val="20"/>
          <w:szCs w:val="20"/>
          <w:lang w:val="en-US"/>
        </w:rPr>
        <w:t xml:space="preserve">U.S.EPA., 1990. Methods for measuring the acute toxicity of effluents and receiving waters to freshwater and marine organism. </w:t>
      </w:r>
      <w:proofErr w:type="spellStart"/>
      <w:r w:rsidRPr="00937031">
        <w:rPr>
          <w:rFonts w:ascii="Times New Roman" w:hAnsi="Times New Roman" w:cs="Times New Roman"/>
          <w:sz w:val="20"/>
          <w:szCs w:val="20"/>
        </w:rPr>
        <w:t>Fourth</w:t>
      </w:r>
      <w:proofErr w:type="spellEnd"/>
      <w:r w:rsidRPr="009370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7031">
        <w:rPr>
          <w:rFonts w:ascii="Times New Roman" w:hAnsi="Times New Roman" w:cs="Times New Roman"/>
          <w:sz w:val="20"/>
          <w:szCs w:val="20"/>
        </w:rPr>
        <w:t>Edition</w:t>
      </w:r>
      <w:proofErr w:type="spellEnd"/>
      <w:r w:rsidRPr="0093703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37031">
        <w:rPr>
          <w:rFonts w:ascii="Times New Roman" w:hAnsi="Times New Roman" w:cs="Times New Roman"/>
          <w:sz w:val="20"/>
          <w:szCs w:val="20"/>
        </w:rPr>
        <w:t>Report</w:t>
      </w:r>
      <w:proofErr w:type="spellEnd"/>
      <w:r w:rsidRPr="00937031">
        <w:rPr>
          <w:rFonts w:ascii="Times New Roman" w:hAnsi="Times New Roman" w:cs="Times New Roman"/>
          <w:sz w:val="20"/>
          <w:szCs w:val="20"/>
        </w:rPr>
        <w:t xml:space="preserve"> 600/4-90/027F.</w:t>
      </w:r>
    </w:p>
    <w:p w:rsidR="00933E16" w:rsidRDefault="00933E16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E16" w:rsidRDefault="00933E16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E16" w:rsidRDefault="00933E16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E16" w:rsidRDefault="00933E16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496" w:rsidRDefault="00B31496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496">
        <w:rPr>
          <w:rFonts w:ascii="Times New Roman" w:hAnsi="Times New Roman" w:cs="Times New Roman"/>
          <w:b/>
          <w:sz w:val="24"/>
          <w:szCs w:val="24"/>
        </w:rPr>
        <w:lastRenderedPageBreak/>
        <w:t>Área de estudio</w:t>
      </w:r>
    </w:p>
    <w:p w:rsidR="00933E16" w:rsidRDefault="00933E16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496" w:rsidRPr="00B31496" w:rsidRDefault="00B31496" w:rsidP="0093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001" w:rsidRDefault="00BC2ED0" w:rsidP="00E0398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612130" cy="528002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taLake600dp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98E" w:rsidRPr="00937031" w:rsidRDefault="00E0398E" w:rsidP="00E03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621F">
        <w:rPr>
          <w:rFonts w:ascii="Times New Roman" w:hAnsi="Times New Roman" w:cs="Times New Roman"/>
          <w:sz w:val="24"/>
          <w:szCs w:val="24"/>
        </w:rPr>
        <w:t>Fig.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8E621F">
        <w:rPr>
          <w:rFonts w:ascii="Times New Roman" w:hAnsi="Times New Roman" w:cs="Times New Roman"/>
          <w:sz w:val="24"/>
          <w:szCs w:val="24"/>
        </w:rPr>
        <w:t xml:space="preserve">. Ubicación de los sitios de muestreo en la cuenca del Lago de Tota. </w:t>
      </w:r>
      <w:r w:rsidRPr="00937031">
        <w:rPr>
          <w:rFonts w:ascii="Times New Roman" w:hAnsi="Times New Roman" w:cs="Times New Roman"/>
          <w:sz w:val="24"/>
          <w:szCs w:val="24"/>
          <w:lang w:val="en-US"/>
        </w:rPr>
        <w:t xml:space="preserve">Fuente: </w:t>
      </w:r>
      <w:proofErr w:type="spellStart"/>
      <w:r w:rsidRPr="00937031"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 w:rsidRPr="009370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031">
        <w:rPr>
          <w:rFonts w:ascii="Times New Roman" w:hAnsi="Times New Roman" w:cs="Times New Roman"/>
          <w:sz w:val="24"/>
          <w:szCs w:val="24"/>
          <w:lang w:val="en-US"/>
        </w:rPr>
        <w:t>Autores</w:t>
      </w:r>
      <w:proofErr w:type="spellEnd"/>
      <w:r w:rsidRPr="009370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398E" w:rsidRPr="00937031" w:rsidRDefault="00E0398E" w:rsidP="00E03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398E" w:rsidRPr="00937031" w:rsidRDefault="00E0398E" w:rsidP="00E039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7031">
        <w:rPr>
          <w:rFonts w:ascii="Times New Roman" w:hAnsi="Times New Roman" w:cs="Times New Roman"/>
          <w:sz w:val="24"/>
          <w:szCs w:val="24"/>
          <w:lang w:val="en-US"/>
        </w:rPr>
        <w:t>Fig. C.</w:t>
      </w:r>
      <w:r w:rsidRPr="009370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937031">
        <w:rPr>
          <w:rFonts w:ascii="Times New Roman" w:hAnsi="Times New Roman" w:cs="Times New Roman"/>
          <w:sz w:val="24"/>
          <w:szCs w:val="24"/>
          <w:lang w:val="en-US"/>
        </w:rPr>
        <w:t xml:space="preserve">ampling sites in the Lago de </w:t>
      </w:r>
      <w:proofErr w:type="spellStart"/>
      <w:r w:rsidRPr="00937031">
        <w:rPr>
          <w:rFonts w:ascii="Times New Roman" w:hAnsi="Times New Roman" w:cs="Times New Roman"/>
          <w:sz w:val="24"/>
          <w:szCs w:val="24"/>
          <w:lang w:val="en-US"/>
        </w:rPr>
        <w:t>Tota</w:t>
      </w:r>
      <w:proofErr w:type="spellEnd"/>
      <w:r w:rsidRPr="00937031">
        <w:rPr>
          <w:rFonts w:ascii="Times New Roman" w:hAnsi="Times New Roman" w:cs="Times New Roman"/>
          <w:sz w:val="24"/>
          <w:szCs w:val="24"/>
          <w:lang w:val="en-US"/>
        </w:rPr>
        <w:t xml:space="preserve"> basin. Source: Authors.</w:t>
      </w:r>
    </w:p>
    <w:p w:rsidR="00E0398E" w:rsidRPr="00937031" w:rsidRDefault="00E0398E" w:rsidP="00E039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4CE5" w:rsidRPr="00937031" w:rsidRDefault="006E4CE5" w:rsidP="004C500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2294" w:rsidRPr="00937031" w:rsidRDefault="004E2294" w:rsidP="004C500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4A21" w:rsidRPr="00937031" w:rsidRDefault="00044A21" w:rsidP="00044A21">
      <w:pPr>
        <w:keepNext/>
        <w:widowControl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ectPr w:rsidR="00044A21" w:rsidRPr="00937031" w:rsidSect="00C53437">
          <w:pgSz w:w="12240" w:h="15840" w:code="1"/>
          <w:pgMar w:top="1701" w:right="1701" w:bottom="1701" w:left="1701" w:header="709" w:footer="709" w:gutter="0"/>
          <w:cols w:space="708"/>
          <w:docGrid w:linePitch="360"/>
        </w:sectPr>
      </w:pPr>
    </w:p>
    <w:p w:rsidR="00351A2A" w:rsidRPr="00351A2A" w:rsidRDefault="00351A2A" w:rsidP="00351A2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1A2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Variables físicas y químicas</w:t>
      </w:r>
      <w:r w:rsidRPr="00351A2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in situ </w:t>
      </w:r>
      <w:r w:rsidRPr="00351A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muestras de agua)</w:t>
      </w:r>
    </w:p>
    <w:p w:rsidR="00920139" w:rsidRDefault="00920139" w:rsidP="00351A2A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CUADRO A</w:t>
      </w:r>
    </w:p>
    <w:p w:rsidR="00920139" w:rsidRDefault="00920139" w:rsidP="00351A2A">
      <w:pPr>
        <w:spacing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Comparación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variables físicas y químicas del agua por punto y époc</w:t>
      </w:r>
      <w:r w:rsidR="00CB3258">
        <w:rPr>
          <w:rFonts w:ascii="Times New Roman" w:hAnsi="Times New Roman" w:cs="Times New Roman"/>
          <w:bCs/>
          <w:color w:val="000000"/>
          <w:sz w:val="24"/>
          <w:szCs w:val="24"/>
        </w:rPr>
        <w:t>a de muestreo en la cuenca del 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ago de Tota (n=12)</w:t>
      </w:r>
    </w:p>
    <w:p w:rsidR="00920139" w:rsidRPr="004F5DFA" w:rsidRDefault="00920139" w:rsidP="00351A2A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TABLE A</w:t>
      </w:r>
    </w:p>
    <w:p w:rsidR="00920139" w:rsidRDefault="00920139" w:rsidP="00351A2A">
      <w:pPr>
        <w:spacing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E70B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Comparison of physical and chemical variables of the water by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sampling </w:t>
      </w:r>
      <w:r w:rsidRPr="00E70B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point and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70B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hydroclimatic</w:t>
      </w:r>
      <w:proofErr w:type="spellEnd"/>
      <w:r w:rsidRPr="00E70B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period in the </w:t>
      </w:r>
      <w:r w:rsidR="00D7540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Lago de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Tota basin </w:t>
      </w:r>
      <w:r w:rsidRPr="00AD52D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(n=12)</w:t>
      </w:r>
      <w:r w:rsidRPr="00E70B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tbl>
      <w:tblPr>
        <w:tblStyle w:val="Tablanormal2"/>
        <w:tblpPr w:leftFromText="141" w:rightFromText="141" w:vertAnchor="text" w:horzAnchor="margin" w:tblpY="127"/>
        <w:tblW w:w="12433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679"/>
        <w:gridCol w:w="680"/>
        <w:gridCol w:w="696"/>
        <w:gridCol w:w="680"/>
        <w:gridCol w:w="696"/>
        <w:gridCol w:w="680"/>
        <w:gridCol w:w="680"/>
        <w:gridCol w:w="680"/>
        <w:gridCol w:w="1205"/>
        <w:gridCol w:w="1205"/>
        <w:gridCol w:w="1205"/>
        <w:gridCol w:w="936"/>
      </w:tblGrid>
      <w:tr w:rsidR="00920139" w:rsidRPr="00CA4DD2" w:rsidTr="00FA1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tcBorders>
              <w:bottom w:val="none" w:sz="0" w:space="0" w:color="auto"/>
            </w:tcBorders>
          </w:tcPr>
          <w:p w:rsidR="00920139" w:rsidRPr="00E70B69" w:rsidRDefault="00920139" w:rsidP="003175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471" w:type="dxa"/>
            <w:gridSpan w:val="8"/>
            <w:tcBorders>
              <w:bottom w:val="none" w:sz="0" w:space="0" w:color="auto"/>
            </w:tcBorders>
            <w:noWrap/>
          </w:tcPr>
          <w:p w:rsidR="00920139" w:rsidRPr="00CA4DD2" w:rsidRDefault="00920139" w:rsidP="0031759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 xml:space="preserve">Sistemas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L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óticos</w:t>
            </w:r>
            <w:proofErr w:type="spellEnd"/>
          </w:p>
        </w:tc>
        <w:tc>
          <w:tcPr>
            <w:tcW w:w="4551" w:type="dxa"/>
            <w:gridSpan w:val="4"/>
            <w:tcBorders>
              <w:bottom w:val="none" w:sz="0" w:space="0" w:color="auto"/>
            </w:tcBorders>
          </w:tcPr>
          <w:p w:rsidR="00920139" w:rsidRPr="00CA4DD2" w:rsidRDefault="00920139" w:rsidP="0031759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 xml:space="preserve">Sistema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L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éntico</w:t>
            </w:r>
            <w:proofErr w:type="spellEnd"/>
          </w:p>
        </w:tc>
      </w:tr>
      <w:tr w:rsidR="00920139" w:rsidRPr="00CA4DD2" w:rsidTr="00FA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59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Hato Laguna</w:t>
            </w:r>
          </w:p>
        </w:tc>
        <w:tc>
          <w:tcPr>
            <w:tcW w:w="1376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Los Pozos</w:t>
            </w:r>
          </w:p>
        </w:tc>
        <w:tc>
          <w:tcPr>
            <w:tcW w:w="1376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proofErr w:type="spellStart"/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Tobal</w:t>
            </w:r>
            <w:proofErr w:type="spellEnd"/>
          </w:p>
        </w:tc>
        <w:tc>
          <w:tcPr>
            <w:tcW w:w="1360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Agua Blanca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Confluencia Los Pozos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 xml:space="preserve">Confluencia El </w:t>
            </w:r>
            <w:proofErr w:type="spellStart"/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Tobal</w:t>
            </w:r>
            <w:proofErr w:type="spellEnd"/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Confluencia La Mugre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La Custodia</w:t>
            </w:r>
          </w:p>
        </w:tc>
      </w:tr>
      <w:tr w:rsidR="00920139" w:rsidRPr="00CA4DD2" w:rsidTr="00FA1A1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Variable/Época</w:t>
            </w:r>
          </w:p>
        </w:tc>
        <w:tc>
          <w:tcPr>
            <w:tcW w:w="679" w:type="dxa"/>
            <w:noWrap/>
            <w:hideMark/>
          </w:tcPr>
          <w:p w:rsidR="00920139" w:rsidRPr="00CA4DD2" w:rsidRDefault="00920139" w:rsidP="00FA1A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BP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AP</w:t>
            </w:r>
          </w:p>
        </w:tc>
        <w:tc>
          <w:tcPr>
            <w:tcW w:w="696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BP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AP</w:t>
            </w:r>
          </w:p>
        </w:tc>
        <w:tc>
          <w:tcPr>
            <w:tcW w:w="696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BP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AP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BP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AP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AP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AP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AP</w:t>
            </w:r>
          </w:p>
        </w:tc>
        <w:tc>
          <w:tcPr>
            <w:tcW w:w="936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  <w:t>AP</w:t>
            </w:r>
          </w:p>
        </w:tc>
      </w:tr>
      <w:tr w:rsidR="00920139" w:rsidRPr="00CA4DD2" w:rsidTr="00FA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tcBorders>
              <w:top w:val="none" w:sz="0" w:space="0" w:color="auto"/>
              <w:bottom w:val="none" w:sz="0" w:space="0" w:color="auto"/>
            </w:tcBorders>
            <w:noWrap/>
          </w:tcPr>
          <w:p w:rsidR="00920139" w:rsidRPr="00CA4DD2" w:rsidRDefault="00920139" w:rsidP="003175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pH</w:t>
            </w: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  <w:noWrap/>
          </w:tcPr>
          <w:p w:rsidR="00920139" w:rsidRPr="00CA4DD2" w:rsidRDefault="00920139" w:rsidP="00FA1A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7.16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6.69</w:t>
            </w:r>
          </w:p>
        </w:tc>
        <w:tc>
          <w:tcPr>
            <w:tcW w:w="696" w:type="dxa"/>
            <w:tcBorders>
              <w:top w:val="none" w:sz="0" w:space="0" w:color="auto"/>
              <w:bottom w:val="none" w:sz="0" w:space="0" w:color="auto"/>
            </w:tcBorders>
            <w:noWrap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7.32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7.02</w:t>
            </w:r>
          </w:p>
        </w:tc>
        <w:tc>
          <w:tcPr>
            <w:tcW w:w="696" w:type="dxa"/>
            <w:tcBorders>
              <w:top w:val="none" w:sz="0" w:space="0" w:color="auto"/>
              <w:bottom w:val="none" w:sz="0" w:space="0" w:color="auto"/>
            </w:tcBorders>
            <w:noWrap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7.67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6.77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6.33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6.68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7.36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7.24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7.53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7.26</w:t>
            </w:r>
          </w:p>
        </w:tc>
      </w:tr>
      <w:tr w:rsidR="00920139" w:rsidRPr="00CA4DD2" w:rsidTr="00FA1A1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Temperatura (°C)</w:t>
            </w:r>
          </w:p>
        </w:tc>
        <w:tc>
          <w:tcPr>
            <w:tcW w:w="679" w:type="dxa"/>
            <w:noWrap/>
            <w:hideMark/>
          </w:tcPr>
          <w:p w:rsidR="00920139" w:rsidRPr="00CA4DD2" w:rsidRDefault="00920139" w:rsidP="00FA1A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18.6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13.7</w:t>
            </w:r>
          </w:p>
        </w:tc>
        <w:tc>
          <w:tcPr>
            <w:tcW w:w="696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16.6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13.4</w:t>
            </w:r>
          </w:p>
        </w:tc>
        <w:tc>
          <w:tcPr>
            <w:tcW w:w="696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21.0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13.0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17.6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15.1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14.9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15.0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15.0</w:t>
            </w:r>
          </w:p>
        </w:tc>
        <w:tc>
          <w:tcPr>
            <w:tcW w:w="936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16.8</w:t>
            </w:r>
          </w:p>
        </w:tc>
      </w:tr>
      <w:tr w:rsidR="00920139" w:rsidRPr="00CA4DD2" w:rsidTr="00FA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Saturación de oxígeno (%)</w:t>
            </w: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FA1A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109.5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105.8</w:t>
            </w:r>
          </w:p>
        </w:tc>
        <w:tc>
          <w:tcPr>
            <w:tcW w:w="69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97.5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106.5</w:t>
            </w:r>
          </w:p>
        </w:tc>
        <w:tc>
          <w:tcPr>
            <w:tcW w:w="69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93.6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68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93.2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84.4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63.9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74.3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78.8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105.4</w:t>
            </w:r>
          </w:p>
        </w:tc>
      </w:tr>
      <w:tr w:rsidR="00920139" w:rsidRPr="00CA4DD2" w:rsidTr="00FA1A1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 xml:space="preserve">Conductividad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(µ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S/cm)</w:t>
            </w:r>
          </w:p>
        </w:tc>
        <w:tc>
          <w:tcPr>
            <w:tcW w:w="679" w:type="dxa"/>
            <w:noWrap/>
            <w:hideMark/>
          </w:tcPr>
          <w:p w:rsidR="00920139" w:rsidRPr="00CA4DD2" w:rsidRDefault="00920139" w:rsidP="00FA1A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66.3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35.6</w:t>
            </w:r>
          </w:p>
        </w:tc>
        <w:tc>
          <w:tcPr>
            <w:tcW w:w="696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154.3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71.8</w:t>
            </w:r>
          </w:p>
        </w:tc>
        <w:tc>
          <w:tcPr>
            <w:tcW w:w="696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245.6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120.6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145.1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64.1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67.5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68.3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91.5</w:t>
            </w:r>
          </w:p>
        </w:tc>
        <w:tc>
          <w:tcPr>
            <w:tcW w:w="936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72.4</w:t>
            </w:r>
          </w:p>
        </w:tc>
      </w:tr>
      <w:tr w:rsidR="00920139" w:rsidRPr="00CA4DD2" w:rsidTr="00FA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FA1A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Dureza</w:t>
            </w:r>
            <w:r w:rsidR="00FA1A1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 xml:space="preserve">(mg/l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(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CaCO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subscript"/>
                <w:lang w:eastAsia="es-CO"/>
              </w:rPr>
              <w:t>3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FA1A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69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43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69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60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45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38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920139" w:rsidRPr="00CA4DD2" w:rsidTr="00FA1A1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 xml:space="preserve">Alcalinidad (mg/l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(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HCO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subscript"/>
                <w:lang w:eastAsia="es-CO"/>
              </w:rPr>
              <w:t xml:space="preserve">3 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79" w:type="dxa"/>
            <w:noWrap/>
            <w:hideMark/>
          </w:tcPr>
          <w:p w:rsidR="00920139" w:rsidRPr="00CA4DD2" w:rsidRDefault="00920139" w:rsidP="00FA1A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18.30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30.51</w:t>
            </w:r>
          </w:p>
        </w:tc>
        <w:tc>
          <w:tcPr>
            <w:tcW w:w="696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36.61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15.50</w:t>
            </w:r>
          </w:p>
        </w:tc>
        <w:tc>
          <w:tcPr>
            <w:tcW w:w="696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91.53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42.71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30.51</w:t>
            </w:r>
          </w:p>
        </w:tc>
        <w:tc>
          <w:tcPr>
            <w:tcW w:w="680" w:type="dxa"/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30.51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73.22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61.02</w:t>
            </w:r>
          </w:p>
        </w:tc>
        <w:tc>
          <w:tcPr>
            <w:tcW w:w="1205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61.02</w:t>
            </w:r>
          </w:p>
        </w:tc>
        <w:tc>
          <w:tcPr>
            <w:tcW w:w="936" w:type="dxa"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85.42</w:t>
            </w:r>
          </w:p>
        </w:tc>
      </w:tr>
      <w:tr w:rsidR="00920139" w:rsidRPr="00CA4DD2" w:rsidTr="00FA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FA1A1B" w:rsidP="00FA1A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 xml:space="preserve">Amonio </w:t>
            </w:r>
            <w:r w:rsidR="00920139"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 xml:space="preserve">(mg/l </w:t>
            </w:r>
            <w:r w:rsidR="0092013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(</w:t>
            </w:r>
            <w:r w:rsidR="00920139"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NH</w:t>
            </w:r>
            <w:r w:rsidR="00920139"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subscript"/>
                <w:lang w:eastAsia="es-CO"/>
              </w:rPr>
              <w:t>4</w:t>
            </w:r>
            <w:r w:rsidR="00920139"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-N)</w:t>
            </w: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FA1A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</w:t>
            </w:r>
          </w:p>
        </w:tc>
        <w:tc>
          <w:tcPr>
            <w:tcW w:w="69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</w:t>
            </w:r>
          </w:p>
        </w:tc>
        <w:tc>
          <w:tcPr>
            <w:tcW w:w="69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</w:t>
            </w:r>
          </w:p>
        </w:tc>
      </w:tr>
      <w:tr w:rsidR="00920139" w:rsidRPr="00CA4DD2" w:rsidTr="00FA1A1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</w:tcPr>
          <w:p w:rsidR="00920139" w:rsidRPr="00CA4DD2" w:rsidRDefault="00920139" w:rsidP="00FA1A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Nitratos</w:t>
            </w:r>
            <w:r w:rsidR="00FA1A1B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 xml:space="preserve">(mg/l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(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NO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subscript"/>
                <w:lang w:eastAsia="es-CO"/>
              </w:rPr>
              <w:t>3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-N)</w:t>
            </w:r>
          </w:p>
        </w:tc>
        <w:tc>
          <w:tcPr>
            <w:tcW w:w="679" w:type="dxa"/>
          </w:tcPr>
          <w:p w:rsidR="00920139" w:rsidRPr="00CA4DD2" w:rsidRDefault="00920139" w:rsidP="00FA1A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80" w:type="dxa"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96" w:type="dxa"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680" w:type="dxa"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96" w:type="dxa"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680" w:type="dxa"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&lt;2.3</w:t>
            </w:r>
          </w:p>
        </w:tc>
        <w:tc>
          <w:tcPr>
            <w:tcW w:w="680" w:type="dxa"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&lt;2.3</w:t>
            </w:r>
          </w:p>
        </w:tc>
        <w:tc>
          <w:tcPr>
            <w:tcW w:w="680" w:type="dxa"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&lt;2.3</w:t>
            </w:r>
          </w:p>
        </w:tc>
        <w:tc>
          <w:tcPr>
            <w:tcW w:w="1205" w:type="dxa"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&lt;2.3</w:t>
            </w:r>
          </w:p>
        </w:tc>
        <w:tc>
          <w:tcPr>
            <w:tcW w:w="1205" w:type="dxa"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&lt;2.3</w:t>
            </w:r>
          </w:p>
        </w:tc>
        <w:tc>
          <w:tcPr>
            <w:tcW w:w="1205" w:type="dxa"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&lt;2.3</w:t>
            </w:r>
          </w:p>
        </w:tc>
        <w:tc>
          <w:tcPr>
            <w:tcW w:w="936" w:type="dxa"/>
          </w:tcPr>
          <w:p w:rsidR="00920139" w:rsidRPr="00CA4DD2" w:rsidRDefault="00920139" w:rsidP="003175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&lt;2.3</w:t>
            </w:r>
          </w:p>
        </w:tc>
      </w:tr>
      <w:tr w:rsidR="00920139" w:rsidRPr="00CA4DD2" w:rsidTr="00FA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FA1A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 xml:space="preserve">Fosfatos (mg/l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(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PO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subscript"/>
                <w:lang w:eastAsia="es-CO"/>
              </w:rPr>
              <w:t>4</w:t>
            </w:r>
            <w:r w:rsidRPr="00CA4DD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s-CO"/>
              </w:rPr>
              <w:t>-P)</w:t>
            </w: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FA1A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&lt;0.44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9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&lt;0.44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9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&lt;0.44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&gt;4.4</w:t>
            </w:r>
          </w:p>
        </w:tc>
        <w:tc>
          <w:tcPr>
            <w:tcW w:w="6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&gt;4.4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&lt;0.44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&lt;0.44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&lt;0.44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920139" w:rsidRPr="00CA4DD2" w:rsidRDefault="00920139" w:rsidP="003175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CA4DD2">
              <w:rPr>
                <w:rFonts w:ascii="Times New Roman" w:hAnsi="Times New Roman" w:cs="Times New Roman"/>
                <w:sz w:val="20"/>
                <w:szCs w:val="20"/>
              </w:rPr>
              <w:t>&lt;0.44</w:t>
            </w:r>
          </w:p>
        </w:tc>
      </w:tr>
    </w:tbl>
    <w:p w:rsidR="00933E16" w:rsidRDefault="00933E16" w:rsidP="0092013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20139" w:rsidRDefault="00920139" w:rsidP="0092013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  <w:sectPr w:rsidR="00920139" w:rsidSect="00317591">
          <w:pgSz w:w="15840" w:h="12240" w:orient="landscape"/>
          <w:pgMar w:top="1701" w:right="1701" w:bottom="1701" w:left="1701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Pr="009D1D62">
        <w:rPr>
          <w:rFonts w:ascii="Times New Roman" w:hAnsi="Times New Roman" w:cs="Times New Roman"/>
          <w:bCs/>
          <w:iCs/>
          <w:sz w:val="24"/>
          <w:szCs w:val="24"/>
        </w:rPr>
        <w:t>BP: Bajas precipitaciones; AP: Altas precipitaciones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724BD" w:rsidRPr="00B31496" w:rsidRDefault="00351A2A" w:rsidP="006724B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1A2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Variables físicas y químicas </w:t>
      </w:r>
      <w:r w:rsidRPr="004368E8">
        <w:rPr>
          <w:rFonts w:ascii="Times New Roman" w:hAnsi="Times New Roman" w:cs="Times New Roman"/>
          <w:bCs/>
          <w:i/>
          <w:color w:val="000000"/>
          <w:sz w:val="24"/>
          <w:szCs w:val="24"/>
        </w:rPr>
        <w:t>ex situ</w:t>
      </w:r>
      <w:r w:rsidRPr="00351A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elutriados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B314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6724BD" w:rsidRPr="009D1D62">
        <w:rPr>
          <w:rFonts w:ascii="Times New Roman" w:hAnsi="Times New Roman" w:cs="Times New Roman"/>
          <w:bCs/>
          <w:sz w:val="24"/>
          <w:szCs w:val="24"/>
        </w:rPr>
        <w:t xml:space="preserve">Se evaluaron parámetros fisicoquímicos al </w:t>
      </w:r>
      <w:proofErr w:type="spellStart"/>
      <w:r w:rsidR="006724BD" w:rsidRPr="009D1D62">
        <w:rPr>
          <w:rFonts w:ascii="Times New Roman" w:hAnsi="Times New Roman" w:cs="Times New Roman"/>
          <w:bCs/>
          <w:sz w:val="24"/>
          <w:szCs w:val="24"/>
        </w:rPr>
        <w:t>elutriado</w:t>
      </w:r>
      <w:proofErr w:type="spellEnd"/>
      <w:r w:rsidR="006724BD" w:rsidRPr="009D1D62">
        <w:rPr>
          <w:rFonts w:ascii="Times New Roman" w:hAnsi="Times New Roman" w:cs="Times New Roman"/>
          <w:bCs/>
          <w:sz w:val="24"/>
          <w:szCs w:val="24"/>
        </w:rPr>
        <w:t xml:space="preserve"> final con Kits de </w:t>
      </w:r>
      <w:proofErr w:type="spellStart"/>
      <w:r w:rsidR="006724BD" w:rsidRPr="009D1D62">
        <w:rPr>
          <w:rFonts w:ascii="Times New Roman" w:hAnsi="Times New Roman" w:cs="Times New Roman"/>
          <w:bCs/>
          <w:sz w:val="24"/>
          <w:szCs w:val="24"/>
        </w:rPr>
        <w:t>Aqua</w:t>
      </w:r>
      <w:proofErr w:type="spellEnd"/>
      <w:r w:rsidR="006724BD" w:rsidRPr="009D1D62">
        <w:rPr>
          <w:rFonts w:ascii="Times New Roman" w:hAnsi="Times New Roman" w:cs="Times New Roman"/>
          <w:bCs/>
          <w:sz w:val="24"/>
          <w:szCs w:val="24"/>
        </w:rPr>
        <w:t xml:space="preserve">-Merck, </w:t>
      </w:r>
      <w:r w:rsidR="006724BD">
        <w:rPr>
          <w:rFonts w:ascii="Times New Roman" w:hAnsi="Times New Roman" w:cs="Times New Roman"/>
          <w:bCs/>
          <w:sz w:val="24"/>
          <w:szCs w:val="24"/>
        </w:rPr>
        <w:t>para dureza (mg/l</w:t>
      </w:r>
      <w:r w:rsidR="006724BD" w:rsidRPr="009D1D62">
        <w:rPr>
          <w:rFonts w:ascii="Times New Roman" w:hAnsi="Times New Roman" w:cs="Times New Roman"/>
          <w:bCs/>
          <w:sz w:val="24"/>
          <w:szCs w:val="24"/>
        </w:rPr>
        <w:t xml:space="preserve"> CaCO</w:t>
      </w:r>
      <w:r w:rsidR="006724BD" w:rsidRPr="009D1D62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6724BD">
        <w:rPr>
          <w:rFonts w:ascii="Times New Roman" w:hAnsi="Times New Roman" w:cs="Times New Roman"/>
          <w:bCs/>
          <w:sz w:val="24"/>
          <w:szCs w:val="24"/>
        </w:rPr>
        <w:t>), alcalinidad (mg/l</w:t>
      </w:r>
      <w:r w:rsidR="006724BD" w:rsidRPr="009D1D62">
        <w:rPr>
          <w:rFonts w:ascii="Times New Roman" w:hAnsi="Times New Roman" w:cs="Times New Roman"/>
          <w:bCs/>
          <w:sz w:val="24"/>
          <w:szCs w:val="24"/>
        </w:rPr>
        <w:t xml:space="preserve"> HCO</w:t>
      </w:r>
      <w:r w:rsidR="006724BD" w:rsidRPr="009D1D62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6724BD">
        <w:rPr>
          <w:rFonts w:ascii="Times New Roman" w:hAnsi="Times New Roman" w:cs="Times New Roman"/>
          <w:bCs/>
          <w:sz w:val="24"/>
          <w:szCs w:val="24"/>
        </w:rPr>
        <w:t xml:space="preserve">), fosfatos (mg/l </w:t>
      </w:r>
      <w:r w:rsidR="006724BD" w:rsidRPr="009D1D62">
        <w:rPr>
          <w:rFonts w:ascii="Times New Roman" w:hAnsi="Times New Roman" w:cs="Times New Roman"/>
          <w:bCs/>
          <w:sz w:val="24"/>
          <w:szCs w:val="24"/>
        </w:rPr>
        <w:t>PO</w:t>
      </w:r>
      <w:r w:rsidR="006724BD" w:rsidRPr="009D1D62">
        <w:rPr>
          <w:rFonts w:ascii="Times New Roman" w:hAnsi="Times New Roman" w:cs="Times New Roman"/>
          <w:bCs/>
          <w:sz w:val="24"/>
          <w:szCs w:val="24"/>
          <w:vertAlign w:val="subscript"/>
        </w:rPr>
        <w:t>4-</w:t>
      </w:r>
      <w:r w:rsidR="006724BD">
        <w:rPr>
          <w:rFonts w:ascii="Times New Roman" w:hAnsi="Times New Roman" w:cs="Times New Roman"/>
          <w:bCs/>
          <w:sz w:val="24"/>
          <w:szCs w:val="24"/>
        </w:rPr>
        <w:t>P), amonio (mg/l</w:t>
      </w:r>
      <w:r w:rsidR="006724BD" w:rsidRPr="009D1D62">
        <w:rPr>
          <w:rFonts w:ascii="Times New Roman" w:hAnsi="Times New Roman" w:cs="Times New Roman"/>
          <w:bCs/>
          <w:sz w:val="24"/>
          <w:szCs w:val="24"/>
        </w:rPr>
        <w:t xml:space="preserve"> NH</w:t>
      </w:r>
      <w:r w:rsidR="006724BD" w:rsidRPr="009D1D62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6724BD" w:rsidRPr="009D1D62">
        <w:rPr>
          <w:rFonts w:ascii="Times New Roman" w:hAnsi="Times New Roman" w:cs="Times New Roman"/>
          <w:bCs/>
          <w:sz w:val="24"/>
          <w:szCs w:val="24"/>
        </w:rPr>
        <w:t>)</w:t>
      </w:r>
      <w:r w:rsidR="006724BD">
        <w:rPr>
          <w:rFonts w:ascii="Times New Roman" w:hAnsi="Times New Roman" w:cs="Times New Roman"/>
          <w:bCs/>
          <w:sz w:val="24"/>
          <w:szCs w:val="24"/>
        </w:rPr>
        <w:t xml:space="preserve"> y nitratos (mg/l</w:t>
      </w:r>
      <w:r w:rsidR="006724BD" w:rsidRPr="004144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4BD" w:rsidRPr="009D1D62">
        <w:rPr>
          <w:rFonts w:ascii="Times New Roman" w:hAnsi="Times New Roman" w:cs="Times New Roman"/>
          <w:bCs/>
          <w:sz w:val="24"/>
          <w:szCs w:val="24"/>
        </w:rPr>
        <w:t>NO</w:t>
      </w:r>
      <w:r w:rsidR="006724BD" w:rsidRPr="009D1D62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6724BD">
        <w:rPr>
          <w:rFonts w:ascii="Times New Roman" w:hAnsi="Times New Roman" w:cs="Times New Roman"/>
          <w:bCs/>
          <w:sz w:val="24"/>
          <w:szCs w:val="24"/>
        </w:rPr>
        <w:t>-N</w:t>
      </w:r>
      <w:r w:rsidR="006724BD" w:rsidRPr="009D1D62">
        <w:rPr>
          <w:rFonts w:ascii="Times New Roman" w:hAnsi="Times New Roman" w:cs="Times New Roman"/>
          <w:bCs/>
          <w:sz w:val="24"/>
          <w:szCs w:val="24"/>
        </w:rPr>
        <w:t>)</w:t>
      </w:r>
      <w:r w:rsidR="006724BD">
        <w:rPr>
          <w:rFonts w:ascii="Times New Roman" w:hAnsi="Times New Roman" w:cs="Times New Roman"/>
          <w:bCs/>
          <w:sz w:val="24"/>
          <w:szCs w:val="24"/>
        </w:rPr>
        <w:t xml:space="preserve">. No se evaluaron plaguicidas en esta fracción por los altos costos de los mismos. </w:t>
      </w:r>
    </w:p>
    <w:p w:rsidR="00373248" w:rsidRPr="00373248" w:rsidRDefault="00373248" w:rsidP="00373248">
      <w:pPr>
        <w:widowControl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os valores señala</w:t>
      </w:r>
      <w:r w:rsidR="00963893">
        <w:rPr>
          <w:rFonts w:ascii="Times New Roman" w:hAnsi="Times New Roman" w:cs="Times New Roman"/>
          <w:bCs/>
          <w:color w:val="000000"/>
          <w:sz w:val="24"/>
          <w:szCs w:val="24"/>
        </w:rPr>
        <w:t>ron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diferencias cercanas al doble de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lo reportado en agua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con mayor concentración para alcalinidad, amonio, nitratos y fosfatos. El </w:t>
      </w:r>
      <w:proofErr w:type="spellStart"/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Tobal</w:t>
      </w:r>
      <w:proofErr w:type="spellEnd"/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present</w:t>
      </w:r>
      <w:r w:rsidR="00963893">
        <w:rPr>
          <w:rFonts w:ascii="Times New Roman" w:hAnsi="Times New Roman" w:cs="Times New Roman"/>
          <w:bCs/>
          <w:color w:val="000000"/>
          <w:sz w:val="24"/>
          <w:szCs w:val="24"/>
        </w:rPr>
        <w:t>ó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los mayores valores</w:t>
      </w:r>
      <w:r w:rsidR="00963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excepto para nitratos, donde fue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superado por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confluencia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de L</w:t>
      </w:r>
      <w:r w:rsidRPr="009D1D62">
        <w:rPr>
          <w:rFonts w:ascii="Times New Roman" w:hAnsi="Times New Roman" w:cs="Times New Roman"/>
          <w:bCs/>
          <w:color w:val="000000"/>
          <w:sz w:val="24"/>
          <w:szCs w:val="24"/>
        </w:rPr>
        <w:t>os Pozos y Hato Laguna con medidas que lo duplican.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73248" w:rsidRPr="00351A2A" w:rsidRDefault="00373248" w:rsidP="00351A2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1A2A" w:rsidRDefault="00351A2A" w:rsidP="00351A2A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CUADRO B</w:t>
      </w:r>
    </w:p>
    <w:p w:rsidR="00351A2A" w:rsidRDefault="00351A2A" w:rsidP="00351A2A">
      <w:pPr>
        <w:keepNext/>
        <w:widowControl w:val="0"/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60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Variables químicas de los </w:t>
      </w:r>
      <w:proofErr w:type="spellStart"/>
      <w:r w:rsidRPr="00EA6008">
        <w:rPr>
          <w:rFonts w:ascii="Times New Roman" w:hAnsi="Times New Roman" w:cs="Times New Roman"/>
          <w:bCs/>
          <w:color w:val="000000"/>
          <w:sz w:val="24"/>
          <w:szCs w:val="24"/>
        </w:rPr>
        <w:t>elutriad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3258">
        <w:rPr>
          <w:rFonts w:ascii="Times New Roman" w:hAnsi="Times New Roman" w:cs="Times New Roman"/>
          <w:bCs/>
          <w:color w:val="000000"/>
          <w:sz w:val="24"/>
          <w:szCs w:val="24"/>
        </w:rPr>
        <w:t>en la cuenca del 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ago de Tota</w:t>
      </w:r>
      <w:r w:rsidR="00FA1A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(n=5)</w:t>
      </w:r>
    </w:p>
    <w:p w:rsidR="00351A2A" w:rsidRDefault="00351A2A" w:rsidP="00351A2A">
      <w:pPr>
        <w:keepNext/>
        <w:widowControl w:val="0"/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1A2A" w:rsidRPr="004F5DFA" w:rsidRDefault="00351A2A" w:rsidP="00351A2A">
      <w:pPr>
        <w:keepNext/>
        <w:widowControl w:val="0"/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TABLE B</w:t>
      </w:r>
    </w:p>
    <w:p w:rsidR="00351A2A" w:rsidRDefault="00351A2A" w:rsidP="00351A2A">
      <w:pPr>
        <w:keepNext/>
        <w:widowControl w:val="0"/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65A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Chemical vari</w:t>
      </w:r>
      <w:r w:rsidR="001E1B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ables of the elutriates </w:t>
      </w:r>
      <w:r w:rsidR="00AE38B6" w:rsidRPr="00AE38B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in the </w:t>
      </w:r>
      <w:r w:rsidR="001E1B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Lago de </w:t>
      </w:r>
      <w:proofErr w:type="spellStart"/>
      <w:r w:rsidR="001E1B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Tota</w:t>
      </w:r>
      <w:proofErr w:type="spellEnd"/>
      <w:r w:rsidR="001E1B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AE38B6" w:rsidRPr="00AE38B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basin </w:t>
      </w:r>
      <w:r w:rsidR="00FA1A1B" w:rsidRPr="0093703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(n=5)</w:t>
      </w:r>
    </w:p>
    <w:p w:rsidR="001E1B97" w:rsidRDefault="001E1B97" w:rsidP="00351A2A">
      <w:pPr>
        <w:keepNext/>
        <w:widowControl w:val="0"/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tbl>
      <w:tblPr>
        <w:tblW w:w="95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1149"/>
        <w:gridCol w:w="1836"/>
        <w:gridCol w:w="1180"/>
        <w:gridCol w:w="1394"/>
        <w:gridCol w:w="1406"/>
      </w:tblGrid>
      <w:tr w:rsidR="00351A2A" w:rsidRPr="009D1D62" w:rsidTr="00FA1A1B">
        <w:trPr>
          <w:trHeight w:val="643"/>
          <w:jc w:val="center"/>
        </w:trPr>
        <w:tc>
          <w:tcPr>
            <w:tcW w:w="2571" w:type="dxa"/>
            <w:shd w:val="clear" w:color="auto" w:fill="auto"/>
            <w:noWrap/>
            <w:vAlign w:val="bottom"/>
            <w:hideMark/>
          </w:tcPr>
          <w:p w:rsidR="00351A2A" w:rsidRPr="00EA6008" w:rsidRDefault="00351A2A" w:rsidP="003175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Variable/ Punto</w:t>
            </w:r>
          </w:p>
        </w:tc>
        <w:tc>
          <w:tcPr>
            <w:tcW w:w="1149" w:type="dxa"/>
            <w:vAlign w:val="bottom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Hato Laguna</w:t>
            </w:r>
          </w:p>
        </w:tc>
        <w:tc>
          <w:tcPr>
            <w:tcW w:w="1836" w:type="dxa"/>
            <w:vAlign w:val="bottom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Los Pozos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El </w:t>
            </w:r>
            <w:proofErr w:type="spellStart"/>
            <w:r w:rsidRPr="009D1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Tobal</w:t>
            </w:r>
            <w:proofErr w:type="spellEnd"/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Agua Blanca</w:t>
            </w:r>
          </w:p>
        </w:tc>
        <w:tc>
          <w:tcPr>
            <w:tcW w:w="1406" w:type="dxa"/>
            <w:vAlign w:val="bottom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Confluencia Los Pozos</w:t>
            </w:r>
          </w:p>
        </w:tc>
      </w:tr>
      <w:tr w:rsidR="00351A2A" w:rsidRPr="009D1D62" w:rsidTr="00FA1A1B">
        <w:trPr>
          <w:trHeight w:val="319"/>
          <w:jc w:val="center"/>
        </w:trPr>
        <w:tc>
          <w:tcPr>
            <w:tcW w:w="2571" w:type="dxa"/>
            <w:shd w:val="clear" w:color="auto" w:fill="auto"/>
            <w:noWrap/>
            <w:vAlign w:val="bottom"/>
          </w:tcPr>
          <w:p w:rsidR="00351A2A" w:rsidRPr="00FA1A1B" w:rsidRDefault="00351A2A" w:rsidP="00FA1A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</w:pP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  <w:t>Dureza (mg/l CaCO</w:t>
            </w: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es-CO"/>
              </w:rPr>
              <w:t>3</w:t>
            </w: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  <w:t>)</w:t>
            </w:r>
          </w:p>
        </w:tc>
        <w:tc>
          <w:tcPr>
            <w:tcW w:w="1149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</w:t>
            </w:r>
          </w:p>
        </w:tc>
        <w:tc>
          <w:tcPr>
            <w:tcW w:w="1836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62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</w:t>
            </w:r>
          </w:p>
        </w:tc>
        <w:tc>
          <w:tcPr>
            <w:tcW w:w="1406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38</w:t>
            </w:r>
          </w:p>
        </w:tc>
      </w:tr>
      <w:tr w:rsidR="00351A2A" w:rsidRPr="009D1D62" w:rsidTr="00FA1A1B">
        <w:trPr>
          <w:trHeight w:val="300"/>
          <w:jc w:val="center"/>
        </w:trPr>
        <w:tc>
          <w:tcPr>
            <w:tcW w:w="2571" w:type="dxa"/>
            <w:shd w:val="clear" w:color="auto" w:fill="auto"/>
            <w:noWrap/>
            <w:vAlign w:val="bottom"/>
          </w:tcPr>
          <w:p w:rsidR="00351A2A" w:rsidRPr="00FA1A1B" w:rsidRDefault="00351A2A" w:rsidP="003175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</w:pP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  <w:t>Alcalinidad (mg/l HCO</w:t>
            </w: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es-CO"/>
              </w:rPr>
              <w:t>3</w:t>
            </w: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  <w:t>)</w:t>
            </w:r>
          </w:p>
        </w:tc>
        <w:tc>
          <w:tcPr>
            <w:tcW w:w="1149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73.</w:t>
            </w: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22</w:t>
            </w:r>
          </w:p>
        </w:tc>
        <w:tc>
          <w:tcPr>
            <w:tcW w:w="1836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97.</w:t>
            </w:r>
            <w:r w:rsidRPr="009D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122.</w:t>
            </w:r>
            <w:r w:rsidRPr="009D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04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67.</w:t>
            </w: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1406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61.</w:t>
            </w: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02</w:t>
            </w:r>
          </w:p>
        </w:tc>
      </w:tr>
      <w:tr w:rsidR="00351A2A" w:rsidRPr="009D1D62" w:rsidTr="00FA1A1B">
        <w:trPr>
          <w:trHeight w:val="300"/>
          <w:jc w:val="center"/>
        </w:trPr>
        <w:tc>
          <w:tcPr>
            <w:tcW w:w="2571" w:type="dxa"/>
            <w:shd w:val="clear" w:color="auto" w:fill="auto"/>
            <w:noWrap/>
            <w:vAlign w:val="bottom"/>
          </w:tcPr>
          <w:p w:rsidR="00351A2A" w:rsidRPr="00FA1A1B" w:rsidRDefault="00351A2A" w:rsidP="00FA1A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</w:pP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  <w:t>Amonio (mg/l NH</w:t>
            </w: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es-CO"/>
              </w:rPr>
              <w:t>4</w:t>
            </w: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  <w:t>-N)</w:t>
            </w:r>
          </w:p>
        </w:tc>
        <w:tc>
          <w:tcPr>
            <w:tcW w:w="1149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836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406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</w:tr>
      <w:tr w:rsidR="00351A2A" w:rsidRPr="009D1D62" w:rsidTr="00FA1A1B">
        <w:trPr>
          <w:trHeight w:val="300"/>
          <w:jc w:val="center"/>
        </w:trPr>
        <w:tc>
          <w:tcPr>
            <w:tcW w:w="2571" w:type="dxa"/>
            <w:shd w:val="clear" w:color="auto" w:fill="auto"/>
            <w:noWrap/>
            <w:vAlign w:val="bottom"/>
            <w:hideMark/>
          </w:tcPr>
          <w:p w:rsidR="00351A2A" w:rsidRPr="00FA1A1B" w:rsidRDefault="00351A2A" w:rsidP="00FA1A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</w:pP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  <w:t>Nitratos (mg/l NO</w:t>
            </w: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es-CO"/>
              </w:rPr>
              <w:t>3</w:t>
            </w: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  <w:t>-N)</w:t>
            </w:r>
          </w:p>
        </w:tc>
        <w:tc>
          <w:tcPr>
            <w:tcW w:w="1149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25</w:t>
            </w:r>
          </w:p>
        </w:tc>
        <w:tc>
          <w:tcPr>
            <w:tcW w:w="1836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406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25</w:t>
            </w:r>
          </w:p>
        </w:tc>
      </w:tr>
      <w:tr w:rsidR="00351A2A" w:rsidRPr="009D1D62" w:rsidTr="00FA1A1B">
        <w:trPr>
          <w:trHeight w:val="300"/>
          <w:jc w:val="center"/>
        </w:trPr>
        <w:tc>
          <w:tcPr>
            <w:tcW w:w="2571" w:type="dxa"/>
            <w:shd w:val="clear" w:color="auto" w:fill="auto"/>
            <w:noWrap/>
            <w:vAlign w:val="bottom"/>
            <w:hideMark/>
          </w:tcPr>
          <w:p w:rsidR="00351A2A" w:rsidRPr="00FA1A1B" w:rsidRDefault="00351A2A" w:rsidP="003175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</w:pP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  <w:t>Fosfatos (mg/l PO</w:t>
            </w: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bscript"/>
                <w:lang w:eastAsia="es-CO"/>
              </w:rPr>
              <w:t>4</w:t>
            </w:r>
            <w:r w:rsidRPr="00FA1A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es-CO"/>
              </w:rPr>
              <w:t>-P)</w:t>
            </w:r>
          </w:p>
        </w:tc>
        <w:tc>
          <w:tcPr>
            <w:tcW w:w="1149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2.</w:t>
            </w: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836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</w:t>
            </w: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D1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.</w:t>
            </w: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2.</w:t>
            </w: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406" w:type="dxa"/>
            <w:vAlign w:val="center"/>
          </w:tcPr>
          <w:p w:rsidR="00351A2A" w:rsidRPr="00EA6008" w:rsidRDefault="00351A2A" w:rsidP="00FA1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2.</w:t>
            </w:r>
            <w:r w:rsidRPr="00EA6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</w:tr>
    </w:tbl>
    <w:p w:rsidR="00920139" w:rsidRPr="00351A2A" w:rsidRDefault="00920139" w:rsidP="00CF0A4E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0139" w:rsidRPr="00351A2A" w:rsidSect="00373248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01"/>
    <w:rsid w:val="00044A21"/>
    <w:rsid w:val="00091E04"/>
    <w:rsid w:val="00096839"/>
    <w:rsid w:val="000A2236"/>
    <w:rsid w:val="000B05E5"/>
    <w:rsid w:val="000E3ADD"/>
    <w:rsid w:val="001E1B97"/>
    <w:rsid w:val="001E6DE8"/>
    <w:rsid w:val="002C4A9C"/>
    <w:rsid w:val="002F06E9"/>
    <w:rsid w:val="002F7D01"/>
    <w:rsid w:val="00317591"/>
    <w:rsid w:val="0032423B"/>
    <w:rsid w:val="00351A2A"/>
    <w:rsid w:val="00355236"/>
    <w:rsid w:val="00373248"/>
    <w:rsid w:val="00377FF9"/>
    <w:rsid w:val="003826AA"/>
    <w:rsid w:val="00407C20"/>
    <w:rsid w:val="0042022F"/>
    <w:rsid w:val="004368E8"/>
    <w:rsid w:val="0048343E"/>
    <w:rsid w:val="004C5001"/>
    <w:rsid w:val="004E2294"/>
    <w:rsid w:val="00541AC8"/>
    <w:rsid w:val="00577210"/>
    <w:rsid w:val="006724BD"/>
    <w:rsid w:val="00693CD3"/>
    <w:rsid w:val="006C12CD"/>
    <w:rsid w:val="006E4CE5"/>
    <w:rsid w:val="00751652"/>
    <w:rsid w:val="007E5CD3"/>
    <w:rsid w:val="00887F81"/>
    <w:rsid w:val="008A09F5"/>
    <w:rsid w:val="008C67A9"/>
    <w:rsid w:val="008E621F"/>
    <w:rsid w:val="0090044A"/>
    <w:rsid w:val="00920139"/>
    <w:rsid w:val="00933E16"/>
    <w:rsid w:val="00937031"/>
    <w:rsid w:val="00961066"/>
    <w:rsid w:val="009627FD"/>
    <w:rsid w:val="00963893"/>
    <w:rsid w:val="00994E47"/>
    <w:rsid w:val="009A2552"/>
    <w:rsid w:val="009C0960"/>
    <w:rsid w:val="009D7F28"/>
    <w:rsid w:val="00A11737"/>
    <w:rsid w:val="00AE38B6"/>
    <w:rsid w:val="00B31496"/>
    <w:rsid w:val="00B36524"/>
    <w:rsid w:val="00BB0BE6"/>
    <w:rsid w:val="00BC2ED0"/>
    <w:rsid w:val="00C53437"/>
    <w:rsid w:val="00CB3258"/>
    <w:rsid w:val="00CF0A4E"/>
    <w:rsid w:val="00D75408"/>
    <w:rsid w:val="00D8204D"/>
    <w:rsid w:val="00E0398E"/>
    <w:rsid w:val="00E91ABF"/>
    <w:rsid w:val="00EB43D6"/>
    <w:rsid w:val="00FA1A1B"/>
    <w:rsid w:val="00FA3BCC"/>
    <w:rsid w:val="00FD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F56B"/>
  <w15:chartTrackingRefBased/>
  <w15:docId w15:val="{3A3B3E05-937E-4C01-82D8-5C92ACC4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920139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comentario">
    <w:name w:val="annotation text"/>
    <w:basedOn w:val="Normal"/>
    <w:link w:val="TextocomentarioCar"/>
    <w:uiPriority w:val="99"/>
    <w:unhideWhenUsed/>
    <w:rsid w:val="004202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022F"/>
    <w:rPr>
      <w:sz w:val="20"/>
      <w:szCs w:val="20"/>
      <w:lang w:val="es-CO"/>
    </w:rPr>
  </w:style>
  <w:style w:type="character" w:styleId="nfasis">
    <w:name w:val="Emphasis"/>
    <w:basedOn w:val="Fuentedeprrafopredeter"/>
    <w:uiPriority w:val="20"/>
    <w:qFormat/>
    <w:rsid w:val="001E6DE8"/>
    <w:rPr>
      <w:i/>
      <w:iCs/>
    </w:rPr>
  </w:style>
  <w:style w:type="table" w:styleId="Tablaconcuadrcula">
    <w:name w:val="Table Grid"/>
    <w:basedOn w:val="Tablanormal"/>
    <w:uiPriority w:val="39"/>
    <w:rsid w:val="0009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D:\DATOS%20ANDREA%20BARRERA\DATOS%20C\Downloads\Tesis\ejemplo%20carta%20control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%20ANDREA%20BARRERA\DATOS%20C\Downloads\Tesis\ejemplo%20carta%20control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%20ANDREA%20BARRERA\DATOS%20C\Downloads\Tesis\ejemplo%20carta%20control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'Carta control Daphnia'!$A$31:$A$40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'Carta control Daphnia'!$B$31:$B$40</c:f>
              <c:numCache>
                <c:formatCode>General</c:formatCode>
                <c:ptCount val="10"/>
                <c:pt idx="0">
                  <c:v>3.008</c:v>
                </c:pt>
                <c:pt idx="1">
                  <c:v>3.714</c:v>
                </c:pt>
                <c:pt idx="2">
                  <c:v>3.1019999999999999</c:v>
                </c:pt>
                <c:pt idx="3">
                  <c:v>3.4119999999999999</c:v>
                </c:pt>
                <c:pt idx="4">
                  <c:v>3.2909999999999999</c:v>
                </c:pt>
                <c:pt idx="5">
                  <c:v>4.0839999999999996</c:v>
                </c:pt>
                <c:pt idx="6">
                  <c:v>3.7759999999999998</c:v>
                </c:pt>
                <c:pt idx="7">
                  <c:v>3.3580000000000001</c:v>
                </c:pt>
                <c:pt idx="8">
                  <c:v>4.069</c:v>
                </c:pt>
                <c:pt idx="9">
                  <c:v>3.4630000000000001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F03-418D-AAF7-39B34A11E0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85762160"/>
        <c:axId val="585759440"/>
      </c:scatterChart>
      <c:valAx>
        <c:axId val="585762160"/>
        <c:scaling>
          <c:orientation val="minMax"/>
          <c:max val="1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CO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Bioensayo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759440"/>
        <c:crosses val="autoZero"/>
        <c:crossBetween val="midCat"/>
        <c:majorUnit val="1"/>
      </c:valAx>
      <c:valAx>
        <c:axId val="585759440"/>
        <c:scaling>
          <c:orientation val="minMax"/>
          <c:max val="4.5"/>
          <c:min val="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CO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CL50-48h (g/l NaCl)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762160"/>
        <c:crosses val="autoZero"/>
        <c:crossBetween val="midCat"/>
        <c:majorUnit val="0.2"/>
        <c:min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'Carta control Hydra'!$A$23:$A$32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'Carta control Hydra'!$B$23:$B$32</c:f>
              <c:numCache>
                <c:formatCode>General</c:formatCode>
                <c:ptCount val="10"/>
                <c:pt idx="0">
                  <c:v>1.073</c:v>
                </c:pt>
                <c:pt idx="1">
                  <c:v>1.091</c:v>
                </c:pt>
                <c:pt idx="2">
                  <c:v>1.1559999999999999</c:v>
                </c:pt>
                <c:pt idx="3">
                  <c:v>1.175</c:v>
                </c:pt>
                <c:pt idx="4">
                  <c:v>0.998</c:v>
                </c:pt>
                <c:pt idx="5">
                  <c:v>0.89</c:v>
                </c:pt>
                <c:pt idx="6">
                  <c:v>1.1279999999999999</c:v>
                </c:pt>
                <c:pt idx="7">
                  <c:v>1.0740000000000001</c:v>
                </c:pt>
                <c:pt idx="8">
                  <c:v>1</c:v>
                </c:pt>
                <c:pt idx="9">
                  <c:v>0.9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DF1-46FF-9B9A-B15382662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85763792"/>
        <c:axId val="585752368"/>
      </c:scatterChart>
      <c:valAx>
        <c:axId val="5857637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CO" sz="9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Bioensayo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752368"/>
        <c:crosses val="autoZero"/>
        <c:crossBetween val="midCat"/>
        <c:majorUnit val="1"/>
      </c:valAx>
      <c:valAx>
        <c:axId val="585752368"/>
        <c:scaling>
          <c:orientation val="minMax"/>
          <c:max val="1.4"/>
          <c:min val="0.60000000000000009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CO" sz="9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CL</a:t>
                </a:r>
                <a:r>
                  <a:rPr lang="es-CO" sz="7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50-96h</a:t>
                </a:r>
                <a:r>
                  <a:rPr lang="es-CO" sz="900" b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(g/l NaCl)</a:t>
                </a:r>
                <a:endParaRPr lang="es-CO" sz="900" b="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763792"/>
        <c:crosses val="autoZero"/>
        <c:crossBetween val="midCat"/>
        <c:majorUnit val="0.1"/>
        <c:minorUnit val="1.0000000000000002E-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'Carta control Hydra'!$N$22:$N$31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'Carta control Hydra'!$O$22:$O$31</c:f>
              <c:numCache>
                <c:formatCode>General</c:formatCode>
                <c:ptCount val="10"/>
                <c:pt idx="0">
                  <c:v>0.371</c:v>
                </c:pt>
                <c:pt idx="1">
                  <c:v>0.32600000000000001</c:v>
                </c:pt>
                <c:pt idx="2">
                  <c:v>0.39100000000000001</c:v>
                </c:pt>
                <c:pt idx="3">
                  <c:v>0.503</c:v>
                </c:pt>
                <c:pt idx="4">
                  <c:v>0.53300000000000003</c:v>
                </c:pt>
                <c:pt idx="5">
                  <c:v>0.503</c:v>
                </c:pt>
                <c:pt idx="6">
                  <c:v>0.503</c:v>
                </c:pt>
                <c:pt idx="7">
                  <c:v>0.39</c:v>
                </c:pt>
                <c:pt idx="8">
                  <c:v>0.496</c:v>
                </c:pt>
                <c:pt idx="9">
                  <c:v>0.503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67C-4C53-9456-C93D93065A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85765424"/>
        <c:axId val="585765968"/>
      </c:scatterChart>
      <c:valAx>
        <c:axId val="585765424"/>
        <c:scaling>
          <c:orientation val="minMax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CO" sz="9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Bioensayo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765968"/>
        <c:crosses val="autoZero"/>
        <c:crossBetween val="midCat"/>
        <c:majorUnit val="1"/>
      </c:valAx>
      <c:valAx>
        <c:axId val="585765968"/>
        <c:scaling>
          <c:orientation val="minMax"/>
          <c:max val="0.8"/>
          <c:min val="0.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CO" sz="9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EC</a:t>
                </a:r>
                <a:r>
                  <a:rPr lang="es-CO" sz="7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50-96h</a:t>
                </a:r>
                <a:r>
                  <a:rPr lang="es-CO" sz="900" b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(g/l NaCl)</a:t>
                </a:r>
                <a:endParaRPr lang="es-CO" sz="900" b="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765424"/>
        <c:crosses val="autoZero"/>
        <c:crossBetween val="midCat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0.36328</cdr:x>
      <cdr:y>0.27789</cdr:y>
    </cdr:from>
    <cdr:to>
      <cdr:x>0.56328</cdr:x>
      <cdr:y>0.36816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466674" y="692781"/>
          <a:ext cx="807466" cy="2250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900" b="0">
              <a:latin typeface="Times New Roman" panose="02020603050405020304" pitchFamily="18" charset="0"/>
              <a:cs typeface="Times New Roman" panose="02020603050405020304" pitchFamily="18" charset="0"/>
            </a:rPr>
            <a:t>Promedio=3.5</a:t>
          </a:r>
          <a:r>
            <a:rPr lang="es-CO" sz="900" b="0" baseline="0">
              <a:latin typeface="Times New Roman" panose="02020603050405020304" pitchFamily="18" charset="0"/>
              <a:cs typeface="Times New Roman" panose="02020603050405020304" pitchFamily="18" charset="0"/>
            </a:rPr>
            <a:t>g/l</a:t>
          </a:r>
          <a:endParaRPr lang="es-CO" sz="9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0.3637</cdr:x>
      <cdr:y>0.57041</cdr:y>
    </cdr:from>
    <cdr:to>
      <cdr:x>0.70537</cdr:x>
      <cdr:y>0.68499</cdr:y>
    </cdr:to>
    <cdr:sp macro="" textlink="">
      <cdr:nvSpPr>
        <cdr:cNvPr id="3" name="CuadroTexto 2"/>
        <cdr:cNvSpPr txBox="1"/>
      </cdr:nvSpPr>
      <cdr:spPr>
        <a:xfrm xmlns:a="http://schemas.openxmlformats.org/drawingml/2006/main">
          <a:off x="1666075" y="1543022"/>
          <a:ext cx="1565152" cy="3099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9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Promedio</a:t>
          </a:r>
          <a:r>
            <a:rPr lang="es-CO" sz="900" b="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-2DS=2.8g/l</a:t>
          </a:r>
          <a:endParaRPr lang="es-CO" sz="900" b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0.14503</cdr:x>
      <cdr:y>0.11615</cdr:y>
    </cdr:from>
    <cdr:to>
      <cdr:x>0.9525</cdr:x>
      <cdr:y>0.1169</cdr:y>
    </cdr:to>
    <cdr:cxnSp macro="">
      <cdr:nvCxnSpPr>
        <cdr:cNvPr id="5" name="Conector recto 4"/>
        <cdr:cNvCxnSpPr/>
      </cdr:nvCxnSpPr>
      <cdr:spPr>
        <a:xfrm xmlns:a="http://schemas.openxmlformats.org/drawingml/2006/main" flipV="1">
          <a:off x="585528" y="289560"/>
          <a:ext cx="3260032" cy="1873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ysClr val="windowText" lastClr="000000"/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0.14525</cdr:x>
      <cdr:y>0.35007</cdr:y>
    </cdr:from>
    <cdr:to>
      <cdr:x>0.95628</cdr:x>
      <cdr:y>0.35048</cdr:y>
    </cdr:to>
    <cdr:cxnSp macro="">
      <cdr:nvCxnSpPr>
        <cdr:cNvPr id="8" name="Conector recto 7"/>
        <cdr:cNvCxnSpPr/>
      </cdr:nvCxnSpPr>
      <cdr:spPr>
        <a:xfrm xmlns:a="http://schemas.openxmlformats.org/drawingml/2006/main">
          <a:off x="586403" y="872732"/>
          <a:ext cx="3274397" cy="1028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ysClr val="windowText" lastClr="000000"/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0.14776</cdr:x>
      <cdr:y>0.55018</cdr:y>
    </cdr:from>
    <cdr:to>
      <cdr:x>0.95628</cdr:x>
      <cdr:y>0.55164</cdr:y>
    </cdr:to>
    <cdr:cxnSp macro="">
      <cdr:nvCxnSpPr>
        <cdr:cNvPr id="10" name="Conector recto 9"/>
        <cdr:cNvCxnSpPr/>
      </cdr:nvCxnSpPr>
      <cdr:spPr>
        <a:xfrm xmlns:a="http://schemas.openxmlformats.org/drawingml/2006/main" flipV="1">
          <a:off x="596543" y="1371600"/>
          <a:ext cx="3264257" cy="3646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ysClr val="windowText" lastClr="000000"/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0.79645</cdr:x>
      <cdr:y>0.02447</cdr:y>
    </cdr:from>
    <cdr:to>
      <cdr:x>0.98044</cdr:x>
      <cdr:y>0.1038</cdr:y>
    </cdr:to>
    <cdr:sp macro="" textlink="">
      <cdr:nvSpPr>
        <cdr:cNvPr id="16" name="Rectángulo 15"/>
        <cdr:cNvSpPr/>
      </cdr:nvSpPr>
      <cdr:spPr>
        <a:xfrm xmlns:a="http://schemas.openxmlformats.org/drawingml/2006/main">
          <a:off x="3215514" y="61004"/>
          <a:ext cx="742846" cy="197770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CO" sz="900" b="0">
              <a:solidFill>
                <a:schemeClr val="dk1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CV</a:t>
          </a:r>
          <a:r>
            <a:rPr lang="es-CO" sz="900" b="0" baseline="0">
              <a:solidFill>
                <a:schemeClr val="dk1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=10.6%</a:t>
          </a:r>
          <a:endParaRPr lang="en-US" sz="900"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0.35268</cdr:x>
      <cdr:y>0.02304</cdr:y>
    </cdr:from>
    <cdr:to>
      <cdr:x>0.64261</cdr:x>
      <cdr:y>0.09989</cdr:y>
    </cdr:to>
    <cdr:sp macro="" textlink="">
      <cdr:nvSpPr>
        <cdr:cNvPr id="18" name="Rectángulo 17"/>
        <cdr:cNvSpPr/>
      </cdr:nvSpPr>
      <cdr:spPr>
        <a:xfrm xmlns:a="http://schemas.openxmlformats.org/drawingml/2006/main">
          <a:off x="1615585" y="62325"/>
          <a:ext cx="1328138" cy="207887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CO" sz="900" b="0">
              <a:solidFill>
                <a:schemeClr val="dk1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Promedio</a:t>
          </a:r>
          <a:r>
            <a:rPr lang="es-CO" sz="900" b="0" baseline="0">
              <a:solidFill>
                <a:schemeClr val="dk1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+2DS=4.3g/l</a:t>
          </a:r>
          <a:endParaRPr lang="en-US" sz="900"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0.14184</cdr:x>
      <cdr:y>0.3165</cdr:y>
    </cdr:from>
    <cdr:to>
      <cdr:x>0.95111</cdr:x>
      <cdr:y>0.31717</cdr:y>
    </cdr:to>
    <cdr:cxnSp macro="">
      <cdr:nvCxnSpPr>
        <cdr:cNvPr id="5" name="Conector recto 4"/>
        <cdr:cNvCxnSpPr/>
      </cdr:nvCxnSpPr>
      <cdr:spPr>
        <a:xfrm xmlns:a="http://schemas.openxmlformats.org/drawingml/2006/main" flipV="1">
          <a:off x="559325" y="807920"/>
          <a:ext cx="3191235" cy="1711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ysClr val="windowText" lastClr="000000"/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0.14184</cdr:x>
      <cdr:y>0.47672</cdr:y>
    </cdr:from>
    <cdr:to>
      <cdr:x>0.95257</cdr:x>
      <cdr:y>0.47761</cdr:y>
    </cdr:to>
    <cdr:cxnSp macro="">
      <cdr:nvCxnSpPr>
        <cdr:cNvPr id="7" name="Conector recto 6"/>
        <cdr:cNvCxnSpPr/>
      </cdr:nvCxnSpPr>
      <cdr:spPr>
        <a:xfrm xmlns:a="http://schemas.openxmlformats.org/drawingml/2006/main" flipV="1">
          <a:off x="571500" y="1216923"/>
          <a:ext cx="3266476" cy="2277"/>
        </a:xfrm>
        <a:prstGeom xmlns:a="http://schemas.openxmlformats.org/drawingml/2006/main" prst="line">
          <a:avLst/>
        </a:prstGeom>
        <a:ln xmlns:a="http://schemas.openxmlformats.org/drawingml/2006/main" w="19050"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0.14493</cdr:x>
      <cdr:y>0.62686</cdr:y>
    </cdr:from>
    <cdr:to>
      <cdr:x>0.9555</cdr:x>
      <cdr:y>0.627</cdr:y>
    </cdr:to>
    <cdr:cxnSp macro="">
      <cdr:nvCxnSpPr>
        <cdr:cNvPr id="10" name="Conector recto 9"/>
        <cdr:cNvCxnSpPr/>
      </cdr:nvCxnSpPr>
      <cdr:spPr>
        <a:xfrm xmlns:a="http://schemas.openxmlformats.org/drawingml/2006/main">
          <a:off x="571510" y="1600188"/>
          <a:ext cx="3196361" cy="357"/>
        </a:xfrm>
        <a:prstGeom xmlns:a="http://schemas.openxmlformats.org/drawingml/2006/main" prst="line">
          <a:avLst/>
        </a:prstGeom>
        <a:ln xmlns:a="http://schemas.openxmlformats.org/drawingml/2006/main" w="19050"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0.83125</cdr:x>
      <cdr:y>0.06092</cdr:y>
    </cdr:from>
    <cdr:to>
      <cdr:x>0.97303</cdr:x>
      <cdr:y>0.14408</cdr:y>
    </cdr:to>
    <cdr:sp macro="" textlink="">
      <cdr:nvSpPr>
        <cdr:cNvPr id="11" name="CuadroTexto 18"/>
        <cdr:cNvSpPr txBox="1"/>
      </cdr:nvSpPr>
      <cdr:spPr>
        <a:xfrm xmlns:a="http://schemas.openxmlformats.org/drawingml/2006/main">
          <a:off x="3813846" y="164831"/>
          <a:ext cx="650499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CO" sz="900" b="0">
              <a:latin typeface="Times New Roman" panose="02020603050405020304" pitchFamily="18" charset="0"/>
              <a:cs typeface="Times New Roman" panose="02020603050405020304" pitchFamily="18" charset="0"/>
            </a:rPr>
            <a:t>CV</a:t>
          </a:r>
          <a:r>
            <a:rPr lang="es-CO" sz="900" b="0" baseline="0">
              <a:latin typeface="Times New Roman" panose="02020603050405020304" pitchFamily="18" charset="0"/>
              <a:cs typeface="Times New Roman" panose="02020603050405020304" pitchFamily="18" charset="0"/>
            </a:rPr>
            <a:t>=9.5%</a:t>
          </a:r>
          <a:endParaRPr lang="es-CO" sz="9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0.40429</cdr:x>
      <cdr:y>0.2416</cdr:y>
    </cdr:from>
    <cdr:to>
      <cdr:x>0.67345</cdr:x>
      <cdr:y>0.32476</cdr:y>
    </cdr:to>
    <cdr:sp macro="" textlink="">
      <cdr:nvSpPr>
        <cdr:cNvPr id="12" name="CuadroTexto 15"/>
        <cdr:cNvSpPr txBox="1"/>
      </cdr:nvSpPr>
      <cdr:spPr>
        <a:xfrm xmlns:a="http://schemas.openxmlformats.org/drawingml/2006/main">
          <a:off x="1594243" y="616727"/>
          <a:ext cx="1061392" cy="21228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CO" sz="900" b="0">
              <a:latin typeface="Times New Roman" panose="02020603050405020304" pitchFamily="18" charset="0"/>
              <a:cs typeface="Times New Roman" panose="02020603050405020304" pitchFamily="18" charset="0"/>
            </a:rPr>
            <a:t>Promedio+2DS=1.2</a:t>
          </a:r>
          <a:r>
            <a:rPr lang="es-CO" sz="9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g/l</a:t>
          </a:r>
        </a:p>
      </cdr:txBody>
    </cdr:sp>
  </cdr:relSizeAnchor>
  <cdr:relSizeAnchor xmlns:cdr="http://schemas.openxmlformats.org/drawingml/2006/chartDrawing">
    <cdr:from>
      <cdr:x>0.42335</cdr:x>
      <cdr:y>0.40057</cdr:y>
    </cdr:from>
    <cdr:to>
      <cdr:x>0.66071</cdr:x>
      <cdr:y>0.4745</cdr:y>
    </cdr:to>
    <cdr:sp macro="" textlink="">
      <cdr:nvSpPr>
        <cdr:cNvPr id="13" name="CuadroTexto 16"/>
        <cdr:cNvSpPr txBox="1"/>
      </cdr:nvSpPr>
      <cdr:spPr>
        <a:xfrm xmlns:a="http://schemas.openxmlformats.org/drawingml/2006/main">
          <a:off x="1942385" y="1083793"/>
          <a:ext cx="1089016" cy="20002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CO" sz="9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Promedio</a:t>
          </a:r>
          <a:r>
            <a:rPr lang="es-CO" sz="900" b="0">
              <a:latin typeface="Times New Roman" panose="02020603050405020304" pitchFamily="18" charset="0"/>
              <a:cs typeface="Times New Roman" panose="02020603050405020304" pitchFamily="18" charset="0"/>
            </a:rPr>
            <a:t>=1.0g/l</a:t>
          </a:r>
        </a:p>
      </cdr:txBody>
    </cdr:sp>
  </cdr:relSizeAnchor>
  <cdr:relSizeAnchor xmlns:cdr="http://schemas.openxmlformats.org/drawingml/2006/chartDrawing">
    <cdr:from>
      <cdr:x>0.40479</cdr:x>
      <cdr:y>0.60785</cdr:y>
    </cdr:from>
    <cdr:to>
      <cdr:x>0.67443</cdr:x>
      <cdr:y>0.691</cdr:y>
    </cdr:to>
    <cdr:sp macro="" textlink="">
      <cdr:nvSpPr>
        <cdr:cNvPr id="14" name="CuadroTexto 17"/>
        <cdr:cNvSpPr txBox="1"/>
      </cdr:nvSpPr>
      <cdr:spPr>
        <a:xfrm xmlns:a="http://schemas.openxmlformats.org/drawingml/2006/main">
          <a:off x="1596232" y="1551654"/>
          <a:ext cx="1063285" cy="21225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CO" sz="900" b="0">
              <a:latin typeface="Times New Roman" panose="02020603050405020304" pitchFamily="18" charset="0"/>
              <a:cs typeface="Times New Roman" panose="02020603050405020304" pitchFamily="18" charset="0"/>
            </a:rPr>
            <a:t>Promedio-2DS=</a:t>
          </a:r>
          <a:r>
            <a:rPr lang="es-CO" sz="9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0.8</a:t>
          </a:r>
          <a:r>
            <a:rPr lang="es-CO" sz="900" b="0">
              <a:latin typeface="Times New Roman" panose="02020603050405020304" pitchFamily="18" charset="0"/>
              <a:cs typeface="Times New Roman" panose="02020603050405020304" pitchFamily="18" charset="0"/>
            </a:rPr>
            <a:t>g/l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0.14528</cdr:x>
      <cdr:y>0.69776</cdr:y>
    </cdr:from>
    <cdr:to>
      <cdr:x>0.94541</cdr:x>
      <cdr:y>0.69836</cdr:y>
    </cdr:to>
    <cdr:cxnSp macro="">
      <cdr:nvCxnSpPr>
        <cdr:cNvPr id="4" name="Conector recto 3"/>
        <cdr:cNvCxnSpPr/>
      </cdr:nvCxnSpPr>
      <cdr:spPr>
        <a:xfrm xmlns:a="http://schemas.openxmlformats.org/drawingml/2006/main">
          <a:off x="571500" y="1781175"/>
          <a:ext cx="3147577" cy="1529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ysClr val="windowText" lastClr="000000"/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0.1477</cdr:x>
      <cdr:y>0.47501</cdr:y>
    </cdr:from>
    <cdr:to>
      <cdr:x>0.94395</cdr:x>
      <cdr:y>0.47761</cdr:y>
    </cdr:to>
    <cdr:cxnSp macro="">
      <cdr:nvCxnSpPr>
        <cdr:cNvPr id="6" name="Conector recto 5"/>
        <cdr:cNvCxnSpPr/>
      </cdr:nvCxnSpPr>
      <cdr:spPr>
        <a:xfrm xmlns:a="http://schemas.openxmlformats.org/drawingml/2006/main" flipV="1">
          <a:off x="581025" y="1212558"/>
          <a:ext cx="3132309" cy="6642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ysClr val="windowText" lastClr="000000"/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0.14055</cdr:x>
      <cdr:y>0.25414</cdr:y>
    </cdr:from>
    <cdr:to>
      <cdr:x>0.94102</cdr:x>
      <cdr:y>0.25746</cdr:y>
    </cdr:to>
    <cdr:cxnSp macro="">
      <cdr:nvCxnSpPr>
        <cdr:cNvPr id="8" name="Conector recto 7"/>
        <cdr:cNvCxnSpPr/>
      </cdr:nvCxnSpPr>
      <cdr:spPr>
        <a:xfrm xmlns:a="http://schemas.openxmlformats.org/drawingml/2006/main" flipV="1">
          <a:off x="581025" y="648744"/>
          <a:ext cx="3309011" cy="8481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ysClr val="windowText" lastClr="000000"/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0.7845</cdr:x>
      <cdr:y>0.0581</cdr:y>
    </cdr:from>
    <cdr:to>
      <cdr:x>0.97465</cdr:x>
      <cdr:y>0.16418</cdr:y>
    </cdr:to>
    <cdr:sp macro="" textlink="">
      <cdr:nvSpPr>
        <cdr:cNvPr id="9" name="Rectángulo 8"/>
        <cdr:cNvSpPr/>
      </cdr:nvSpPr>
      <cdr:spPr>
        <a:xfrm xmlns:a="http://schemas.openxmlformats.org/drawingml/2006/main">
          <a:off x="3086100" y="148312"/>
          <a:ext cx="748003" cy="270788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CO" sz="900" b="0">
              <a:solidFill>
                <a:schemeClr val="dk1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CV=16.3%</a:t>
          </a:r>
          <a:endParaRPr lang="en-US" sz="900"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0.4102</cdr:x>
      <cdr:y>0.1801</cdr:y>
    </cdr:from>
    <cdr:to>
      <cdr:x>0.67936</cdr:x>
      <cdr:y>0.26334</cdr:y>
    </cdr:to>
    <cdr:sp macro="" textlink="">
      <cdr:nvSpPr>
        <cdr:cNvPr id="10" name="CuadroTexto 26"/>
        <cdr:cNvSpPr txBox="1"/>
      </cdr:nvSpPr>
      <cdr:spPr>
        <a:xfrm xmlns:a="http://schemas.openxmlformats.org/drawingml/2006/main">
          <a:off x="1882015" y="486803"/>
          <a:ext cx="1234953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CO" sz="900" b="0">
              <a:latin typeface="Times New Roman" panose="02020603050405020304" pitchFamily="18" charset="0"/>
              <a:cs typeface="Times New Roman" panose="02020603050405020304" pitchFamily="18" charset="0"/>
            </a:rPr>
            <a:t>Promedio+2DS=0.7g/l</a:t>
          </a:r>
        </a:p>
      </cdr:txBody>
    </cdr:sp>
  </cdr:relSizeAnchor>
  <cdr:relSizeAnchor xmlns:cdr="http://schemas.openxmlformats.org/drawingml/2006/chartDrawing">
    <cdr:from>
      <cdr:x>0.44236</cdr:x>
      <cdr:y>0.46301</cdr:y>
    </cdr:from>
    <cdr:to>
      <cdr:x>0.65889</cdr:x>
      <cdr:y>0.54625</cdr:y>
    </cdr:to>
    <cdr:sp macro="" textlink="">
      <cdr:nvSpPr>
        <cdr:cNvPr id="11" name="CuadroTexto 27"/>
        <cdr:cNvSpPr txBox="1"/>
      </cdr:nvSpPr>
      <cdr:spPr>
        <a:xfrm xmlns:a="http://schemas.openxmlformats.org/drawingml/2006/main">
          <a:off x="2029585" y="1251487"/>
          <a:ext cx="993477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CO" sz="900" b="0">
              <a:latin typeface="Times New Roman" panose="02020603050405020304" pitchFamily="18" charset="0"/>
              <a:cs typeface="Times New Roman" panose="02020603050405020304" pitchFamily="18" charset="0"/>
            </a:rPr>
            <a:t>Promedio=0.5g/l</a:t>
          </a:r>
        </a:p>
      </cdr:txBody>
    </cdr:sp>
  </cdr:relSizeAnchor>
  <cdr:relSizeAnchor xmlns:cdr="http://schemas.openxmlformats.org/drawingml/2006/chartDrawing">
    <cdr:from>
      <cdr:x>0.42481</cdr:x>
      <cdr:y>0.68139</cdr:y>
    </cdr:from>
    <cdr:to>
      <cdr:x>0.68817</cdr:x>
      <cdr:y>0.76463</cdr:y>
    </cdr:to>
    <cdr:sp macro="" textlink="">
      <cdr:nvSpPr>
        <cdr:cNvPr id="12" name="CuadroTexto 28"/>
        <cdr:cNvSpPr txBox="1"/>
      </cdr:nvSpPr>
      <cdr:spPr>
        <a:xfrm xmlns:a="http://schemas.openxmlformats.org/drawingml/2006/main">
          <a:off x="1949092" y="1841768"/>
          <a:ext cx="1208279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CO" sz="900" b="0">
              <a:latin typeface="Times New Roman" panose="02020603050405020304" pitchFamily="18" charset="0"/>
              <a:cs typeface="Times New Roman" panose="02020603050405020304" pitchFamily="18" charset="0"/>
            </a:rPr>
            <a:t>Promedio-2DS=</a:t>
          </a:r>
          <a:r>
            <a:rPr lang="es-CO" sz="9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0.3</a:t>
          </a:r>
          <a:r>
            <a:rPr lang="es-CO" sz="900" b="0">
              <a:latin typeface="Times New Roman" panose="02020603050405020304" pitchFamily="18" charset="0"/>
              <a:cs typeface="Times New Roman" panose="02020603050405020304" pitchFamily="18" charset="0"/>
            </a:rPr>
            <a:t>g/l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50</cp:revision>
  <cp:lastPrinted>2019-02-21T01:04:00Z</cp:lastPrinted>
  <dcterms:created xsi:type="dcterms:W3CDTF">2018-10-23T15:16:00Z</dcterms:created>
  <dcterms:modified xsi:type="dcterms:W3CDTF">2019-02-21T01:18:00Z</dcterms:modified>
</cp:coreProperties>
</file>