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74F5D" w14:textId="329633A2" w:rsidR="00C922F7" w:rsidRPr="00AE6D33" w:rsidRDefault="00C922F7" w:rsidP="00713C93">
      <w:r w:rsidRPr="00AE6D33">
        <w:t>DIGITAL APPENDIX</w:t>
      </w:r>
    </w:p>
    <w:p w14:paraId="656CA648" w14:textId="77777777" w:rsidR="00C922F7" w:rsidRPr="00AE6D33" w:rsidRDefault="00C922F7" w:rsidP="00713C93"/>
    <w:p w14:paraId="14340FF8" w14:textId="77777777" w:rsidR="00C922F7" w:rsidRPr="00097181" w:rsidRDefault="00C922F7" w:rsidP="00713C93">
      <w:r w:rsidRPr="00097181">
        <w:rPr>
          <w:noProof/>
        </w:rPr>
        <w:drawing>
          <wp:inline distT="0" distB="0" distL="0" distR="0" wp14:anchorId="72237CF2" wp14:editId="567D3331">
            <wp:extent cx="5040000" cy="5534602"/>
            <wp:effectExtent l="0" t="0" r="8255" b="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C556194" w14:textId="77777777" w:rsidR="00C922F7" w:rsidRPr="00097181" w:rsidRDefault="00C922F7" w:rsidP="00713C93">
      <w:pPr>
        <w:rPr>
          <w:sz w:val="24"/>
        </w:rPr>
      </w:pPr>
      <w:r w:rsidRPr="00097181">
        <w:rPr>
          <w:b/>
        </w:rPr>
        <w:t>Fig. 1.</w:t>
      </w:r>
      <w:r w:rsidRPr="00097181">
        <w:t xml:space="preserve"> Percentage of publications and number of journals from Ecuador (1920-2017), by Web of Science categories</w:t>
      </w:r>
      <w:r w:rsidRPr="00097181">
        <w:rPr>
          <w:sz w:val="24"/>
        </w:rPr>
        <w:t>.</w:t>
      </w:r>
    </w:p>
    <w:p w14:paraId="60AA7EAF" w14:textId="44C86B7D" w:rsidR="00C922F7" w:rsidRDefault="00C922F7" w:rsidP="00713C93"/>
    <w:p w14:paraId="57D0846F" w14:textId="77777777" w:rsidR="009D1335" w:rsidRPr="00097181" w:rsidRDefault="009D1335" w:rsidP="00713C93"/>
    <w:p w14:paraId="6710EBB6" w14:textId="77777777" w:rsidR="00611AEA" w:rsidRPr="00097181" w:rsidRDefault="00611AEA" w:rsidP="00713C93">
      <w:r w:rsidRPr="00097181">
        <w:rPr>
          <w:noProof/>
        </w:rPr>
        <w:drawing>
          <wp:inline distT="0" distB="0" distL="0" distR="0" wp14:anchorId="30A13B13" wp14:editId="3464269D">
            <wp:extent cx="5040000" cy="4825164"/>
            <wp:effectExtent l="0" t="0" r="8255" b="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F2F9CDB" w14:textId="4817C170" w:rsidR="00611AEA" w:rsidRPr="00713C93" w:rsidRDefault="00611AEA" w:rsidP="00713C93">
      <w:pPr>
        <w:rPr>
          <w:szCs w:val="28"/>
        </w:rPr>
      </w:pPr>
      <w:r w:rsidRPr="00097181">
        <w:rPr>
          <w:b/>
        </w:rPr>
        <w:t>Fig</w:t>
      </w:r>
      <w:r w:rsidR="00713C93">
        <w:rPr>
          <w:b/>
        </w:rPr>
        <w:t>.</w:t>
      </w:r>
      <w:r w:rsidRPr="00097181">
        <w:rPr>
          <w:b/>
        </w:rPr>
        <w:t xml:space="preserve"> 2.</w:t>
      </w:r>
      <w:r w:rsidRPr="00097181">
        <w:t xml:space="preserve"> Publication trends of the top five Web of Science categories</w:t>
      </w:r>
      <w:r w:rsidR="00713C93" w:rsidRPr="00713C93">
        <w:rPr>
          <w:szCs w:val="28"/>
        </w:rPr>
        <w:t>.</w:t>
      </w:r>
    </w:p>
    <w:p w14:paraId="0C8BB7A5" w14:textId="757570FC" w:rsidR="00611AEA" w:rsidRDefault="00611AEA" w:rsidP="00713C93"/>
    <w:p w14:paraId="357C6B82" w14:textId="77777777" w:rsidR="009D1335" w:rsidRPr="00097181" w:rsidRDefault="009D1335" w:rsidP="00713C93"/>
    <w:p w14:paraId="07CAFC7C" w14:textId="77777777" w:rsidR="00C922F7" w:rsidRPr="00097181" w:rsidRDefault="00C922F7" w:rsidP="00713C93">
      <w:r w:rsidRPr="00097181">
        <w:rPr>
          <w:noProof/>
        </w:rPr>
        <w:drawing>
          <wp:inline distT="0" distB="0" distL="0" distR="0" wp14:anchorId="1C21D291" wp14:editId="5897D081">
            <wp:extent cx="5040000" cy="3600000"/>
            <wp:effectExtent l="0" t="0" r="8255" b="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144CCA9" w14:textId="70CCE6F7" w:rsidR="00C922F7" w:rsidRPr="00097181" w:rsidRDefault="00C922F7" w:rsidP="00713C93">
      <w:r w:rsidRPr="00097181">
        <w:rPr>
          <w:b/>
        </w:rPr>
        <w:t xml:space="preserve">Fig. </w:t>
      </w:r>
      <w:r w:rsidR="00642E93" w:rsidRPr="00097181">
        <w:rPr>
          <w:b/>
        </w:rPr>
        <w:t>3</w:t>
      </w:r>
      <w:r w:rsidRPr="00097181">
        <w:rPr>
          <w:b/>
        </w:rPr>
        <w:t>.</w:t>
      </w:r>
      <w:r w:rsidRPr="00097181">
        <w:t xml:space="preserve"> Number of articles and citations per publication by year.</w:t>
      </w:r>
    </w:p>
    <w:p w14:paraId="176C17EF" w14:textId="01352CBA" w:rsidR="00C922F7" w:rsidRDefault="00C922F7" w:rsidP="00713C93"/>
    <w:p w14:paraId="70018E85" w14:textId="77777777" w:rsidR="009D1335" w:rsidRPr="00097181" w:rsidRDefault="009D1335" w:rsidP="00713C93"/>
    <w:p w14:paraId="16CF645B" w14:textId="77777777" w:rsidR="00C922F7" w:rsidRPr="00097181" w:rsidRDefault="00C922F7" w:rsidP="00713C93">
      <w:r w:rsidRPr="00097181">
        <w:rPr>
          <w:noProof/>
        </w:rPr>
        <w:drawing>
          <wp:inline distT="0" distB="0" distL="0" distR="0" wp14:anchorId="65091E42" wp14:editId="29DAC277">
            <wp:extent cx="5040000" cy="3600000"/>
            <wp:effectExtent l="0" t="0" r="8255" b="0"/>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49ABE2" w14:textId="77777777" w:rsidR="00C922F7" w:rsidRPr="00097181" w:rsidRDefault="00C922F7" w:rsidP="00713C93">
      <w:r w:rsidRPr="00097181">
        <w:rPr>
          <w:b/>
        </w:rPr>
        <w:t>Fig. 4.</w:t>
      </w:r>
      <w:r w:rsidRPr="00097181">
        <w:t xml:space="preserve"> Development trend of articles and their citations per publication during 1980 and 2017.</w:t>
      </w:r>
    </w:p>
    <w:p w14:paraId="7E53D91C" w14:textId="77777777" w:rsidR="00C922F7" w:rsidRPr="00097181" w:rsidRDefault="00C922F7" w:rsidP="00713C93"/>
    <w:p w14:paraId="71BD0978" w14:textId="77777777" w:rsidR="00C922F7" w:rsidRPr="00097181" w:rsidRDefault="00C922F7" w:rsidP="00713C93"/>
    <w:p w14:paraId="577E9721" w14:textId="77777777" w:rsidR="00611AEA" w:rsidRPr="00097181" w:rsidRDefault="00611AEA" w:rsidP="00713C93">
      <w:r w:rsidRPr="00097181">
        <w:rPr>
          <w:noProof/>
        </w:rPr>
        <w:drawing>
          <wp:inline distT="0" distB="0" distL="0" distR="0" wp14:anchorId="65E701B6" wp14:editId="6A3990CF">
            <wp:extent cx="5040000" cy="3600000"/>
            <wp:effectExtent l="0" t="0" r="8255" b="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78A88D" w14:textId="77777777" w:rsidR="00611AEA" w:rsidRPr="00097181" w:rsidRDefault="00611AEA" w:rsidP="00713C93">
      <w:r w:rsidRPr="00097181">
        <w:rPr>
          <w:b/>
        </w:rPr>
        <w:t>Fig. 5.</w:t>
      </w:r>
      <w:r w:rsidRPr="00097181">
        <w:t xml:space="preserve"> Development trend of articles and their citations per publication during 1920 and 2008.</w:t>
      </w:r>
    </w:p>
    <w:p w14:paraId="7C213BFF" w14:textId="06C571F1" w:rsidR="00C922F7" w:rsidRDefault="00C922F7" w:rsidP="00713C93">
      <w:pPr>
        <w:rPr>
          <w:shd w:val="clear" w:color="auto" w:fill="FFFFFF"/>
        </w:rPr>
      </w:pPr>
    </w:p>
    <w:p w14:paraId="5FB0DFAC" w14:textId="77777777" w:rsidR="009D1335" w:rsidRPr="00097181" w:rsidRDefault="009D1335" w:rsidP="00713C93">
      <w:pPr>
        <w:rPr>
          <w:shd w:val="clear" w:color="auto" w:fill="FFFFFF"/>
        </w:rPr>
      </w:pPr>
      <w:bookmarkStart w:id="0" w:name="_GoBack"/>
      <w:bookmarkEnd w:id="0"/>
    </w:p>
    <w:p w14:paraId="423E1484" w14:textId="77777777" w:rsidR="00C922F7" w:rsidRPr="00097181" w:rsidRDefault="00C922F7" w:rsidP="00713C93">
      <w:r w:rsidRPr="00097181">
        <w:rPr>
          <w:noProof/>
        </w:rPr>
        <w:drawing>
          <wp:inline distT="0" distB="0" distL="0" distR="0" wp14:anchorId="0E4892A2" wp14:editId="112E06E1">
            <wp:extent cx="5040000" cy="4825164"/>
            <wp:effectExtent l="0" t="0" r="8255" b="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A5D0CF" w14:textId="7A0EAB4D" w:rsidR="00C922F7" w:rsidRPr="00097181" w:rsidRDefault="00C922F7" w:rsidP="00713C93">
      <w:r w:rsidRPr="00097181">
        <w:rPr>
          <w:b/>
        </w:rPr>
        <w:t xml:space="preserve">Fig. </w:t>
      </w:r>
      <w:r w:rsidR="00611AEA" w:rsidRPr="00097181">
        <w:rPr>
          <w:b/>
        </w:rPr>
        <w:t>6</w:t>
      </w:r>
      <w:r w:rsidRPr="00097181">
        <w:rPr>
          <w:b/>
        </w:rPr>
        <w:t>.</w:t>
      </w:r>
      <w:r w:rsidRPr="00097181">
        <w:t xml:space="preserve"> Characteristics of publication type and their citations per publication.</w:t>
      </w:r>
      <w:r w:rsidRPr="00097181">
        <w:rPr>
          <w:i/>
        </w:rPr>
        <w:t>TP</w:t>
      </w:r>
      <w:r w:rsidRPr="00097181">
        <w:t xml:space="preserve">: total articles, </w:t>
      </w:r>
      <w:r w:rsidRPr="00097181">
        <w:rPr>
          <w:i/>
        </w:rPr>
        <w:t>NFR</w:t>
      </w:r>
      <w:r w:rsidRPr="00097181">
        <w:t xml:space="preserve">: both first and corresponding authors are not from Ecuador, </w:t>
      </w:r>
      <w:r w:rsidRPr="00097181">
        <w:rPr>
          <w:i/>
        </w:rPr>
        <w:t>NR</w:t>
      </w:r>
      <w:r w:rsidRPr="00097181">
        <w:t xml:space="preserve">: corresponding author is not from Ecuador, </w:t>
      </w:r>
      <w:r w:rsidRPr="00097181">
        <w:rPr>
          <w:i/>
        </w:rPr>
        <w:t>NF</w:t>
      </w:r>
      <w:r w:rsidRPr="00097181">
        <w:t xml:space="preserve">: first author is not from Ecuador, </w:t>
      </w:r>
      <w:r w:rsidRPr="00097181">
        <w:rPr>
          <w:i/>
        </w:rPr>
        <w:t>IC</w:t>
      </w:r>
      <w:r w:rsidRPr="00097181">
        <w:t xml:space="preserve">: internationally collaborative articles, </w:t>
      </w:r>
      <w:r w:rsidRPr="00097181">
        <w:rPr>
          <w:i/>
        </w:rPr>
        <w:t>NC</w:t>
      </w:r>
      <w:r w:rsidRPr="00097181">
        <w:t xml:space="preserve">: nationally collaborative articles, </w:t>
      </w:r>
      <w:r w:rsidRPr="00097181">
        <w:rPr>
          <w:i/>
        </w:rPr>
        <w:t>II</w:t>
      </w:r>
      <w:r w:rsidRPr="00097181">
        <w:t>: institutional independent articles,</w:t>
      </w:r>
      <w:r w:rsidRPr="00097181">
        <w:rPr>
          <w:i/>
        </w:rPr>
        <w:t xml:space="preserve"> CI</w:t>
      </w:r>
      <w:r w:rsidRPr="00097181">
        <w:t xml:space="preserve">: Ecuador independent articles, </w:t>
      </w:r>
      <w:r w:rsidRPr="00097181">
        <w:rPr>
          <w:i/>
        </w:rPr>
        <w:t>FP</w:t>
      </w:r>
      <w:r w:rsidRPr="00097181">
        <w:t xml:space="preserve">: first author is from Ecuador, </w:t>
      </w:r>
      <w:r w:rsidRPr="00097181">
        <w:rPr>
          <w:i/>
        </w:rPr>
        <w:t>RP</w:t>
      </w:r>
      <w:r w:rsidRPr="00097181">
        <w:t xml:space="preserve">: corresponding author is from Ecuador, </w:t>
      </w:r>
      <w:r w:rsidRPr="00097181">
        <w:rPr>
          <w:i/>
        </w:rPr>
        <w:t>FR</w:t>
      </w:r>
      <w:r w:rsidRPr="00097181">
        <w:t>: both first and corresponding authors are from Ecuador.</w:t>
      </w:r>
    </w:p>
    <w:p w14:paraId="64828FE7" w14:textId="77777777" w:rsidR="00FA5593" w:rsidRPr="00097181" w:rsidRDefault="00FA5593" w:rsidP="00713C93"/>
    <w:p w14:paraId="2207AC23" w14:textId="47566049" w:rsidR="00C922F7" w:rsidRPr="00097181" w:rsidRDefault="00C922F7" w:rsidP="00713C93">
      <w:pPr>
        <w:rPr>
          <w:shd w:val="clear" w:color="auto" w:fill="FFFFFF"/>
        </w:rPr>
      </w:pPr>
    </w:p>
    <w:p w14:paraId="57B8BD50" w14:textId="65439C5F" w:rsidR="00371EDE" w:rsidRPr="00097181" w:rsidRDefault="00371EDE" w:rsidP="00713C93">
      <w:pPr>
        <w:rPr>
          <w:shd w:val="clear" w:color="auto" w:fill="FFFFFF"/>
        </w:rPr>
      </w:pPr>
    </w:p>
    <w:p w14:paraId="6DD2E172" w14:textId="4E1FB2B2" w:rsidR="00371EDE" w:rsidRPr="00097181" w:rsidRDefault="00371EDE" w:rsidP="00713C93">
      <w:pPr>
        <w:rPr>
          <w:shd w:val="clear" w:color="auto" w:fill="FFFFFF"/>
        </w:rPr>
      </w:pPr>
    </w:p>
    <w:p w14:paraId="3117403D" w14:textId="64083B60" w:rsidR="00371EDE" w:rsidRPr="00097181" w:rsidRDefault="00371EDE" w:rsidP="00713C93">
      <w:pPr>
        <w:rPr>
          <w:shd w:val="clear" w:color="auto" w:fill="FFFFFF"/>
        </w:rPr>
      </w:pPr>
    </w:p>
    <w:p w14:paraId="2ADABC33" w14:textId="2472C0B4" w:rsidR="00371EDE" w:rsidRPr="00097181" w:rsidRDefault="00371EDE" w:rsidP="00713C93">
      <w:pPr>
        <w:rPr>
          <w:shd w:val="clear" w:color="auto" w:fill="FFFFFF"/>
        </w:rPr>
      </w:pPr>
    </w:p>
    <w:p w14:paraId="61577A80" w14:textId="74037AC8" w:rsidR="00371EDE" w:rsidRPr="00097181" w:rsidRDefault="00371EDE" w:rsidP="00713C93">
      <w:pPr>
        <w:rPr>
          <w:shd w:val="clear" w:color="auto" w:fill="FFFFFF"/>
        </w:rPr>
      </w:pPr>
    </w:p>
    <w:p w14:paraId="448A3547" w14:textId="052AD0EB" w:rsidR="00371EDE" w:rsidRPr="00097181" w:rsidRDefault="00371EDE" w:rsidP="00713C93">
      <w:pPr>
        <w:rPr>
          <w:shd w:val="clear" w:color="auto" w:fill="FFFFFF"/>
        </w:rPr>
      </w:pPr>
    </w:p>
    <w:p w14:paraId="569D7EF8" w14:textId="731CC163" w:rsidR="00371EDE" w:rsidRPr="00097181" w:rsidRDefault="00371EDE" w:rsidP="00713C93">
      <w:pPr>
        <w:rPr>
          <w:shd w:val="clear" w:color="auto" w:fill="FFFFFF"/>
        </w:rPr>
      </w:pPr>
    </w:p>
    <w:p w14:paraId="3133F63E" w14:textId="317A64FE" w:rsidR="00371EDE" w:rsidRPr="00097181" w:rsidRDefault="00371EDE" w:rsidP="00713C93">
      <w:pPr>
        <w:rPr>
          <w:shd w:val="clear" w:color="auto" w:fill="FFFFFF"/>
        </w:rPr>
      </w:pPr>
    </w:p>
    <w:p w14:paraId="3F812E27" w14:textId="59D46BC1" w:rsidR="00371EDE" w:rsidRPr="00097181" w:rsidRDefault="00371EDE" w:rsidP="00713C93">
      <w:pPr>
        <w:rPr>
          <w:shd w:val="clear" w:color="auto" w:fill="FFFFFF"/>
        </w:rPr>
      </w:pPr>
    </w:p>
    <w:p w14:paraId="45369FEF" w14:textId="5BA25EFA" w:rsidR="00371EDE" w:rsidRPr="00097181" w:rsidRDefault="00371EDE" w:rsidP="00713C93">
      <w:pPr>
        <w:rPr>
          <w:shd w:val="clear" w:color="auto" w:fill="FFFFFF"/>
        </w:rPr>
      </w:pPr>
    </w:p>
    <w:p w14:paraId="202E2E68" w14:textId="26B71849" w:rsidR="00371EDE" w:rsidRPr="00097181" w:rsidRDefault="00371EDE" w:rsidP="00713C93">
      <w:pPr>
        <w:rPr>
          <w:shd w:val="clear" w:color="auto" w:fill="FFFFFF"/>
        </w:rPr>
      </w:pPr>
    </w:p>
    <w:p w14:paraId="592B6D74" w14:textId="7212D92C" w:rsidR="00371EDE" w:rsidRPr="00097181" w:rsidRDefault="00371EDE" w:rsidP="00713C93">
      <w:pPr>
        <w:rPr>
          <w:shd w:val="clear" w:color="auto" w:fill="FFFFFF"/>
        </w:rPr>
      </w:pPr>
    </w:p>
    <w:p w14:paraId="510FDA11" w14:textId="77777777" w:rsidR="00371EDE" w:rsidRPr="00097181" w:rsidRDefault="00371EDE" w:rsidP="00713C93">
      <w:pPr>
        <w:rPr>
          <w:shd w:val="clear" w:color="auto" w:fill="FFFFFF"/>
        </w:rPr>
      </w:pPr>
    </w:p>
    <w:p w14:paraId="1B636FFE" w14:textId="77777777" w:rsidR="00C922F7" w:rsidRPr="00097181" w:rsidRDefault="00C922F7" w:rsidP="00713C93">
      <w:pPr>
        <w:jc w:val="center"/>
      </w:pPr>
      <w:r w:rsidRPr="00097181">
        <w:t>TABLE 1</w:t>
      </w:r>
    </w:p>
    <w:p w14:paraId="50CC1C5E" w14:textId="77777777" w:rsidR="00C922F7" w:rsidRPr="00097181" w:rsidRDefault="00C922F7" w:rsidP="00713C93">
      <w:pPr>
        <w:jc w:val="center"/>
      </w:pPr>
      <w:r w:rsidRPr="00097181">
        <w:t>Characteristics of document type</w:t>
      </w:r>
    </w:p>
    <w:p w14:paraId="41692BB9" w14:textId="77777777" w:rsidR="00C922F7" w:rsidRPr="00097181" w:rsidRDefault="00C922F7" w:rsidP="00713C93"/>
    <w:tbl>
      <w:tblPr>
        <w:tblW w:w="5000" w:type="pct"/>
        <w:tblBorders>
          <w:top w:val="single" w:sz="4" w:space="0" w:color="auto"/>
          <w:bottom w:val="single" w:sz="4" w:space="0" w:color="auto"/>
        </w:tblBorders>
        <w:tblLook w:val="04A0" w:firstRow="1" w:lastRow="0" w:firstColumn="1" w:lastColumn="0" w:noHBand="0" w:noVBand="1"/>
      </w:tblPr>
      <w:tblGrid>
        <w:gridCol w:w="3284"/>
        <w:gridCol w:w="891"/>
        <w:gridCol w:w="966"/>
        <w:gridCol w:w="1197"/>
        <w:gridCol w:w="839"/>
        <w:gridCol w:w="1197"/>
        <w:gridCol w:w="1265"/>
      </w:tblGrid>
      <w:tr w:rsidR="00C922F7" w:rsidRPr="00097181" w14:paraId="519904E1" w14:textId="77777777" w:rsidTr="001E0B61">
        <w:trPr>
          <w:trHeight w:val="315"/>
        </w:trPr>
        <w:tc>
          <w:tcPr>
            <w:tcW w:w="1704" w:type="pct"/>
            <w:tcBorders>
              <w:top w:val="nil"/>
              <w:bottom w:val="nil"/>
            </w:tcBorders>
            <w:shd w:val="clear" w:color="auto" w:fill="D9D9D9" w:themeFill="background1" w:themeFillShade="D9"/>
            <w:noWrap/>
            <w:hideMark/>
          </w:tcPr>
          <w:p w14:paraId="7ABF2F6C" w14:textId="77777777" w:rsidR="00C922F7" w:rsidRPr="00097181" w:rsidRDefault="00C922F7" w:rsidP="00713C93">
            <w:r w:rsidRPr="00097181">
              <w:t>Document type</w:t>
            </w:r>
          </w:p>
        </w:tc>
        <w:tc>
          <w:tcPr>
            <w:tcW w:w="462" w:type="pct"/>
            <w:tcBorders>
              <w:top w:val="nil"/>
              <w:bottom w:val="nil"/>
            </w:tcBorders>
            <w:shd w:val="clear" w:color="auto" w:fill="D9D9D9" w:themeFill="background1" w:themeFillShade="D9"/>
            <w:noWrap/>
            <w:hideMark/>
          </w:tcPr>
          <w:p w14:paraId="138B2C90" w14:textId="77777777" w:rsidR="00C922F7" w:rsidRPr="00097181" w:rsidRDefault="00C922F7" w:rsidP="00713C93">
            <w:r w:rsidRPr="00097181">
              <w:t>TP</w:t>
            </w:r>
          </w:p>
        </w:tc>
        <w:tc>
          <w:tcPr>
            <w:tcW w:w="501" w:type="pct"/>
            <w:tcBorders>
              <w:top w:val="nil"/>
              <w:bottom w:val="nil"/>
            </w:tcBorders>
            <w:shd w:val="clear" w:color="auto" w:fill="D9D9D9" w:themeFill="background1" w:themeFillShade="D9"/>
            <w:noWrap/>
            <w:hideMark/>
          </w:tcPr>
          <w:p w14:paraId="5D393A32" w14:textId="77777777" w:rsidR="00C922F7" w:rsidRPr="00097181" w:rsidRDefault="00C922F7" w:rsidP="00713C93">
            <w:r w:rsidRPr="00097181">
              <w:t>%</w:t>
            </w:r>
          </w:p>
        </w:tc>
        <w:tc>
          <w:tcPr>
            <w:tcW w:w="621" w:type="pct"/>
            <w:tcBorders>
              <w:top w:val="nil"/>
              <w:bottom w:val="nil"/>
            </w:tcBorders>
            <w:shd w:val="clear" w:color="auto" w:fill="D9D9D9" w:themeFill="background1" w:themeFillShade="D9"/>
            <w:noWrap/>
            <w:hideMark/>
          </w:tcPr>
          <w:p w14:paraId="777A7E9B" w14:textId="77777777" w:rsidR="00C922F7" w:rsidRPr="00097181" w:rsidRDefault="00C922F7" w:rsidP="00713C93">
            <w:r w:rsidRPr="00097181">
              <w:t>AU</w:t>
            </w:r>
          </w:p>
        </w:tc>
        <w:tc>
          <w:tcPr>
            <w:tcW w:w="435" w:type="pct"/>
            <w:tcBorders>
              <w:top w:val="nil"/>
              <w:bottom w:val="nil"/>
            </w:tcBorders>
            <w:shd w:val="clear" w:color="auto" w:fill="D9D9D9" w:themeFill="background1" w:themeFillShade="D9"/>
            <w:noWrap/>
            <w:hideMark/>
          </w:tcPr>
          <w:p w14:paraId="3157F679" w14:textId="77777777" w:rsidR="00C922F7" w:rsidRPr="00097181" w:rsidRDefault="00C922F7" w:rsidP="00713C93">
            <w:r w:rsidRPr="00097181">
              <w:t>APP</w:t>
            </w:r>
          </w:p>
        </w:tc>
        <w:tc>
          <w:tcPr>
            <w:tcW w:w="621" w:type="pct"/>
            <w:tcBorders>
              <w:top w:val="nil"/>
              <w:bottom w:val="nil"/>
            </w:tcBorders>
            <w:shd w:val="clear" w:color="auto" w:fill="D9D9D9" w:themeFill="background1" w:themeFillShade="D9"/>
            <w:noWrap/>
            <w:hideMark/>
          </w:tcPr>
          <w:p w14:paraId="169744AB" w14:textId="77777777" w:rsidR="00C922F7" w:rsidRPr="00097181" w:rsidRDefault="00C922F7" w:rsidP="00713C93">
            <w:r w:rsidRPr="00097181">
              <w:rPr>
                <w:i/>
              </w:rPr>
              <w:t>TC</w:t>
            </w:r>
            <w:r w:rsidRPr="00097181">
              <w:rPr>
                <w:vertAlign w:val="subscript"/>
              </w:rPr>
              <w:t>2017</w:t>
            </w:r>
          </w:p>
        </w:tc>
        <w:tc>
          <w:tcPr>
            <w:tcW w:w="656" w:type="pct"/>
            <w:tcBorders>
              <w:top w:val="nil"/>
              <w:bottom w:val="nil"/>
            </w:tcBorders>
            <w:shd w:val="clear" w:color="auto" w:fill="D9D9D9" w:themeFill="background1" w:themeFillShade="D9"/>
            <w:noWrap/>
            <w:hideMark/>
          </w:tcPr>
          <w:p w14:paraId="44321D40" w14:textId="77777777" w:rsidR="00C922F7" w:rsidRPr="00097181" w:rsidRDefault="00C922F7" w:rsidP="00713C93">
            <w:r w:rsidRPr="00097181">
              <w:rPr>
                <w:i/>
              </w:rPr>
              <w:t>CPP</w:t>
            </w:r>
            <w:r w:rsidRPr="00097181">
              <w:rPr>
                <w:vertAlign w:val="subscript"/>
              </w:rPr>
              <w:t>2017</w:t>
            </w:r>
          </w:p>
        </w:tc>
      </w:tr>
      <w:tr w:rsidR="00C922F7" w:rsidRPr="00097181" w14:paraId="4E8C17BC" w14:textId="77777777" w:rsidTr="001E0B61">
        <w:trPr>
          <w:trHeight w:val="315"/>
        </w:trPr>
        <w:tc>
          <w:tcPr>
            <w:tcW w:w="1704" w:type="pct"/>
            <w:tcBorders>
              <w:top w:val="nil"/>
            </w:tcBorders>
            <w:shd w:val="clear" w:color="auto" w:fill="auto"/>
            <w:noWrap/>
            <w:hideMark/>
          </w:tcPr>
          <w:p w14:paraId="765D0367" w14:textId="77777777" w:rsidR="00C922F7" w:rsidRPr="00097181" w:rsidRDefault="00C922F7" w:rsidP="00713C93">
            <w:r w:rsidRPr="00097181">
              <w:t>Article</w:t>
            </w:r>
          </w:p>
        </w:tc>
        <w:tc>
          <w:tcPr>
            <w:tcW w:w="462" w:type="pct"/>
            <w:tcBorders>
              <w:top w:val="nil"/>
            </w:tcBorders>
            <w:shd w:val="clear" w:color="auto" w:fill="auto"/>
            <w:noWrap/>
            <w:hideMark/>
          </w:tcPr>
          <w:p w14:paraId="69587430" w14:textId="77777777" w:rsidR="00C922F7" w:rsidRPr="00097181" w:rsidRDefault="00C922F7" w:rsidP="00713C93">
            <w:r w:rsidRPr="00097181">
              <w:t>7 806</w:t>
            </w:r>
          </w:p>
        </w:tc>
        <w:tc>
          <w:tcPr>
            <w:tcW w:w="501" w:type="pct"/>
            <w:tcBorders>
              <w:top w:val="nil"/>
            </w:tcBorders>
            <w:shd w:val="clear" w:color="auto" w:fill="auto"/>
            <w:noWrap/>
            <w:hideMark/>
          </w:tcPr>
          <w:p w14:paraId="016E3354" w14:textId="77777777" w:rsidR="00C922F7" w:rsidRPr="00097181" w:rsidRDefault="00C922F7" w:rsidP="00713C93">
            <w:r w:rsidRPr="00097181">
              <w:t>81</w:t>
            </w:r>
          </w:p>
        </w:tc>
        <w:tc>
          <w:tcPr>
            <w:tcW w:w="621" w:type="pct"/>
            <w:tcBorders>
              <w:top w:val="nil"/>
            </w:tcBorders>
            <w:shd w:val="clear" w:color="auto" w:fill="auto"/>
            <w:noWrap/>
            <w:hideMark/>
          </w:tcPr>
          <w:p w14:paraId="7BB3C17A" w14:textId="77777777" w:rsidR="00C922F7" w:rsidRPr="00097181" w:rsidRDefault="00C922F7" w:rsidP="00713C93">
            <w:r w:rsidRPr="00097181">
              <w:t>558 518</w:t>
            </w:r>
          </w:p>
        </w:tc>
        <w:tc>
          <w:tcPr>
            <w:tcW w:w="435" w:type="pct"/>
            <w:tcBorders>
              <w:top w:val="nil"/>
            </w:tcBorders>
            <w:shd w:val="clear" w:color="auto" w:fill="auto"/>
            <w:noWrap/>
            <w:hideMark/>
          </w:tcPr>
          <w:p w14:paraId="3A126CB8" w14:textId="77777777" w:rsidR="00C922F7" w:rsidRPr="00097181" w:rsidRDefault="00C922F7" w:rsidP="00713C93">
            <w:r w:rsidRPr="00097181">
              <w:t>72</w:t>
            </w:r>
          </w:p>
        </w:tc>
        <w:tc>
          <w:tcPr>
            <w:tcW w:w="621" w:type="pct"/>
            <w:tcBorders>
              <w:top w:val="nil"/>
            </w:tcBorders>
            <w:shd w:val="clear" w:color="auto" w:fill="auto"/>
            <w:noWrap/>
            <w:hideMark/>
          </w:tcPr>
          <w:p w14:paraId="6FE1968C" w14:textId="77777777" w:rsidR="00C922F7" w:rsidRPr="00097181" w:rsidRDefault="00C922F7" w:rsidP="00713C93">
            <w:r w:rsidRPr="00097181">
              <w:t>119 313</w:t>
            </w:r>
          </w:p>
        </w:tc>
        <w:tc>
          <w:tcPr>
            <w:tcW w:w="656" w:type="pct"/>
            <w:tcBorders>
              <w:top w:val="nil"/>
            </w:tcBorders>
            <w:shd w:val="clear" w:color="auto" w:fill="auto"/>
            <w:noWrap/>
            <w:hideMark/>
          </w:tcPr>
          <w:p w14:paraId="3C59728B" w14:textId="77777777" w:rsidR="00C922F7" w:rsidRPr="00097181" w:rsidRDefault="00C922F7" w:rsidP="00713C93">
            <w:r w:rsidRPr="00097181">
              <w:t>15</w:t>
            </w:r>
          </w:p>
        </w:tc>
      </w:tr>
      <w:tr w:rsidR="00C922F7" w:rsidRPr="00097181" w14:paraId="6E13CE08" w14:textId="77777777" w:rsidTr="001E0B61">
        <w:trPr>
          <w:trHeight w:val="315"/>
        </w:trPr>
        <w:tc>
          <w:tcPr>
            <w:tcW w:w="1704" w:type="pct"/>
            <w:shd w:val="clear" w:color="auto" w:fill="auto"/>
            <w:noWrap/>
            <w:hideMark/>
          </w:tcPr>
          <w:p w14:paraId="6F776DF2" w14:textId="77777777" w:rsidR="00C922F7" w:rsidRPr="00097181" w:rsidRDefault="00C922F7" w:rsidP="00713C93">
            <w:r w:rsidRPr="00097181">
              <w:t>Meeting abstract</w:t>
            </w:r>
          </w:p>
        </w:tc>
        <w:tc>
          <w:tcPr>
            <w:tcW w:w="462" w:type="pct"/>
            <w:shd w:val="clear" w:color="auto" w:fill="auto"/>
            <w:noWrap/>
            <w:hideMark/>
          </w:tcPr>
          <w:p w14:paraId="53C1D745" w14:textId="77777777" w:rsidR="00C922F7" w:rsidRPr="00097181" w:rsidRDefault="00C922F7" w:rsidP="00713C93">
            <w:r w:rsidRPr="00097181">
              <w:t>914</w:t>
            </w:r>
          </w:p>
        </w:tc>
        <w:tc>
          <w:tcPr>
            <w:tcW w:w="501" w:type="pct"/>
            <w:shd w:val="clear" w:color="auto" w:fill="auto"/>
            <w:noWrap/>
            <w:hideMark/>
          </w:tcPr>
          <w:p w14:paraId="4E6C63BB" w14:textId="77777777" w:rsidR="00C922F7" w:rsidRPr="00097181" w:rsidRDefault="00C922F7" w:rsidP="00713C93">
            <w:r w:rsidRPr="00097181">
              <w:t>9.5</w:t>
            </w:r>
          </w:p>
        </w:tc>
        <w:tc>
          <w:tcPr>
            <w:tcW w:w="621" w:type="pct"/>
            <w:shd w:val="clear" w:color="auto" w:fill="auto"/>
            <w:noWrap/>
            <w:hideMark/>
          </w:tcPr>
          <w:p w14:paraId="2F3AEBD4" w14:textId="77777777" w:rsidR="00C922F7" w:rsidRPr="00097181" w:rsidRDefault="00C922F7" w:rsidP="00713C93">
            <w:r w:rsidRPr="00097181">
              <w:t>6 158</w:t>
            </w:r>
          </w:p>
        </w:tc>
        <w:tc>
          <w:tcPr>
            <w:tcW w:w="435" w:type="pct"/>
            <w:shd w:val="clear" w:color="auto" w:fill="auto"/>
            <w:noWrap/>
            <w:hideMark/>
          </w:tcPr>
          <w:p w14:paraId="0275F744" w14:textId="77777777" w:rsidR="00C922F7" w:rsidRPr="00097181" w:rsidRDefault="00C922F7" w:rsidP="00713C93">
            <w:r w:rsidRPr="00097181">
              <w:t>6.7</w:t>
            </w:r>
          </w:p>
        </w:tc>
        <w:tc>
          <w:tcPr>
            <w:tcW w:w="621" w:type="pct"/>
            <w:shd w:val="clear" w:color="auto" w:fill="auto"/>
            <w:noWrap/>
            <w:hideMark/>
          </w:tcPr>
          <w:p w14:paraId="029B979D" w14:textId="77777777" w:rsidR="00C922F7" w:rsidRPr="00097181" w:rsidRDefault="00C922F7" w:rsidP="00713C93">
            <w:r w:rsidRPr="00097181">
              <w:t>113</w:t>
            </w:r>
          </w:p>
        </w:tc>
        <w:tc>
          <w:tcPr>
            <w:tcW w:w="656" w:type="pct"/>
            <w:shd w:val="clear" w:color="auto" w:fill="auto"/>
            <w:noWrap/>
            <w:hideMark/>
          </w:tcPr>
          <w:p w14:paraId="26142673" w14:textId="77777777" w:rsidR="00C922F7" w:rsidRPr="00097181" w:rsidRDefault="00C922F7" w:rsidP="00713C93">
            <w:r w:rsidRPr="00097181">
              <w:t>0.12</w:t>
            </w:r>
          </w:p>
        </w:tc>
      </w:tr>
      <w:tr w:rsidR="00C922F7" w:rsidRPr="00097181" w14:paraId="446CF63B" w14:textId="77777777" w:rsidTr="001E0B61">
        <w:trPr>
          <w:trHeight w:val="315"/>
        </w:trPr>
        <w:tc>
          <w:tcPr>
            <w:tcW w:w="1704" w:type="pct"/>
            <w:shd w:val="clear" w:color="auto" w:fill="auto"/>
            <w:noWrap/>
            <w:hideMark/>
          </w:tcPr>
          <w:p w14:paraId="08D3ED50" w14:textId="77777777" w:rsidR="00C922F7" w:rsidRPr="00097181" w:rsidRDefault="00C922F7" w:rsidP="00713C93">
            <w:r w:rsidRPr="00097181">
              <w:t>Review</w:t>
            </w:r>
          </w:p>
        </w:tc>
        <w:tc>
          <w:tcPr>
            <w:tcW w:w="462" w:type="pct"/>
            <w:shd w:val="clear" w:color="auto" w:fill="auto"/>
            <w:noWrap/>
            <w:hideMark/>
          </w:tcPr>
          <w:p w14:paraId="4543D8D3" w14:textId="77777777" w:rsidR="00C922F7" w:rsidRPr="00097181" w:rsidRDefault="00C922F7" w:rsidP="00713C93">
            <w:r w:rsidRPr="00097181">
              <w:t>399</w:t>
            </w:r>
          </w:p>
        </w:tc>
        <w:tc>
          <w:tcPr>
            <w:tcW w:w="501" w:type="pct"/>
            <w:shd w:val="clear" w:color="auto" w:fill="auto"/>
            <w:noWrap/>
            <w:hideMark/>
          </w:tcPr>
          <w:p w14:paraId="56E1EA6C" w14:textId="77777777" w:rsidR="00C922F7" w:rsidRPr="00097181" w:rsidRDefault="00C922F7" w:rsidP="00713C93">
            <w:r w:rsidRPr="00097181">
              <w:t>4.1</w:t>
            </w:r>
          </w:p>
        </w:tc>
        <w:tc>
          <w:tcPr>
            <w:tcW w:w="621" w:type="pct"/>
            <w:shd w:val="clear" w:color="auto" w:fill="auto"/>
            <w:noWrap/>
            <w:hideMark/>
          </w:tcPr>
          <w:p w14:paraId="33EB0DEC" w14:textId="77777777" w:rsidR="00C922F7" w:rsidRPr="00097181" w:rsidRDefault="00C922F7" w:rsidP="00713C93">
            <w:r w:rsidRPr="00097181">
              <w:t>3 506</w:t>
            </w:r>
          </w:p>
        </w:tc>
        <w:tc>
          <w:tcPr>
            <w:tcW w:w="435" w:type="pct"/>
            <w:shd w:val="clear" w:color="auto" w:fill="auto"/>
            <w:noWrap/>
            <w:hideMark/>
          </w:tcPr>
          <w:p w14:paraId="5B81E4A9" w14:textId="77777777" w:rsidR="00C922F7" w:rsidRPr="00097181" w:rsidRDefault="00C922F7" w:rsidP="00713C93">
            <w:r w:rsidRPr="00097181">
              <w:t>8.8</w:t>
            </w:r>
          </w:p>
        </w:tc>
        <w:tc>
          <w:tcPr>
            <w:tcW w:w="621" w:type="pct"/>
            <w:shd w:val="clear" w:color="auto" w:fill="auto"/>
            <w:noWrap/>
            <w:hideMark/>
          </w:tcPr>
          <w:p w14:paraId="212DFDA4" w14:textId="77777777" w:rsidR="00C922F7" w:rsidRPr="00097181" w:rsidRDefault="00C922F7" w:rsidP="00713C93">
            <w:r w:rsidRPr="00097181">
              <w:t>10 859</w:t>
            </w:r>
          </w:p>
        </w:tc>
        <w:tc>
          <w:tcPr>
            <w:tcW w:w="656" w:type="pct"/>
            <w:shd w:val="clear" w:color="auto" w:fill="auto"/>
            <w:noWrap/>
            <w:hideMark/>
          </w:tcPr>
          <w:p w14:paraId="7C6832AC" w14:textId="77777777" w:rsidR="00C922F7" w:rsidRPr="00097181" w:rsidRDefault="00C922F7" w:rsidP="00713C93">
            <w:r w:rsidRPr="00097181">
              <w:t>27</w:t>
            </w:r>
          </w:p>
        </w:tc>
      </w:tr>
      <w:tr w:rsidR="00C922F7" w:rsidRPr="00097181" w14:paraId="34BCBD13" w14:textId="77777777" w:rsidTr="001E0B61">
        <w:trPr>
          <w:trHeight w:val="315"/>
        </w:trPr>
        <w:tc>
          <w:tcPr>
            <w:tcW w:w="1704" w:type="pct"/>
            <w:shd w:val="clear" w:color="auto" w:fill="auto"/>
            <w:noWrap/>
            <w:hideMark/>
          </w:tcPr>
          <w:p w14:paraId="232F181E" w14:textId="77777777" w:rsidR="00C922F7" w:rsidRPr="00097181" w:rsidRDefault="00C922F7" w:rsidP="00713C93">
            <w:r w:rsidRPr="00097181">
              <w:t>Letter</w:t>
            </w:r>
          </w:p>
        </w:tc>
        <w:tc>
          <w:tcPr>
            <w:tcW w:w="462" w:type="pct"/>
            <w:shd w:val="clear" w:color="auto" w:fill="auto"/>
            <w:noWrap/>
            <w:hideMark/>
          </w:tcPr>
          <w:p w14:paraId="60BCF2D7" w14:textId="77777777" w:rsidR="00C922F7" w:rsidRPr="00097181" w:rsidRDefault="00C922F7" w:rsidP="00713C93">
            <w:r w:rsidRPr="00097181">
              <w:t>243</w:t>
            </w:r>
          </w:p>
        </w:tc>
        <w:tc>
          <w:tcPr>
            <w:tcW w:w="501" w:type="pct"/>
            <w:shd w:val="clear" w:color="auto" w:fill="auto"/>
            <w:noWrap/>
            <w:hideMark/>
          </w:tcPr>
          <w:p w14:paraId="4BBD07EF" w14:textId="77777777" w:rsidR="00C922F7" w:rsidRPr="00097181" w:rsidRDefault="00C922F7" w:rsidP="00713C93">
            <w:r w:rsidRPr="00097181">
              <w:t>2.5</w:t>
            </w:r>
          </w:p>
        </w:tc>
        <w:tc>
          <w:tcPr>
            <w:tcW w:w="621" w:type="pct"/>
            <w:shd w:val="clear" w:color="auto" w:fill="auto"/>
            <w:noWrap/>
            <w:hideMark/>
          </w:tcPr>
          <w:p w14:paraId="2DE62FE5" w14:textId="77777777" w:rsidR="00C922F7" w:rsidRPr="00097181" w:rsidRDefault="00C922F7" w:rsidP="00713C93">
            <w:r w:rsidRPr="00097181">
              <w:t>1 101</w:t>
            </w:r>
          </w:p>
        </w:tc>
        <w:tc>
          <w:tcPr>
            <w:tcW w:w="435" w:type="pct"/>
            <w:shd w:val="clear" w:color="auto" w:fill="auto"/>
            <w:noWrap/>
            <w:hideMark/>
          </w:tcPr>
          <w:p w14:paraId="72C83663" w14:textId="77777777" w:rsidR="00C922F7" w:rsidRPr="00097181" w:rsidRDefault="00C922F7" w:rsidP="00713C93">
            <w:r w:rsidRPr="00097181">
              <w:t>4.5</w:t>
            </w:r>
          </w:p>
        </w:tc>
        <w:tc>
          <w:tcPr>
            <w:tcW w:w="621" w:type="pct"/>
            <w:shd w:val="clear" w:color="auto" w:fill="auto"/>
            <w:noWrap/>
            <w:hideMark/>
          </w:tcPr>
          <w:p w14:paraId="05DB57C6" w14:textId="77777777" w:rsidR="00C922F7" w:rsidRPr="00097181" w:rsidRDefault="00C922F7" w:rsidP="00713C93">
            <w:r w:rsidRPr="00097181">
              <w:t>961</w:t>
            </w:r>
          </w:p>
        </w:tc>
        <w:tc>
          <w:tcPr>
            <w:tcW w:w="656" w:type="pct"/>
            <w:shd w:val="clear" w:color="auto" w:fill="auto"/>
            <w:noWrap/>
            <w:hideMark/>
          </w:tcPr>
          <w:p w14:paraId="4AC2F84F" w14:textId="77777777" w:rsidR="00C922F7" w:rsidRPr="00097181" w:rsidRDefault="00C922F7" w:rsidP="00713C93">
            <w:r w:rsidRPr="00097181">
              <w:t>4.0</w:t>
            </w:r>
          </w:p>
        </w:tc>
      </w:tr>
      <w:tr w:rsidR="00C922F7" w:rsidRPr="00097181" w14:paraId="2EB4660A" w14:textId="77777777" w:rsidTr="001E0B61">
        <w:trPr>
          <w:trHeight w:val="315"/>
        </w:trPr>
        <w:tc>
          <w:tcPr>
            <w:tcW w:w="1704" w:type="pct"/>
            <w:shd w:val="clear" w:color="auto" w:fill="auto"/>
            <w:noWrap/>
            <w:hideMark/>
          </w:tcPr>
          <w:p w14:paraId="47AE5B97" w14:textId="77777777" w:rsidR="00C922F7" w:rsidRPr="00097181" w:rsidRDefault="00C922F7" w:rsidP="00713C93">
            <w:r w:rsidRPr="00097181">
              <w:t>Proceedings paper</w:t>
            </w:r>
          </w:p>
        </w:tc>
        <w:tc>
          <w:tcPr>
            <w:tcW w:w="462" w:type="pct"/>
            <w:shd w:val="clear" w:color="auto" w:fill="auto"/>
            <w:noWrap/>
            <w:hideMark/>
          </w:tcPr>
          <w:p w14:paraId="06FC99F5" w14:textId="77777777" w:rsidR="00C922F7" w:rsidRPr="00097181" w:rsidRDefault="00C922F7" w:rsidP="00713C93">
            <w:r w:rsidRPr="00097181">
              <w:t>198</w:t>
            </w:r>
          </w:p>
        </w:tc>
        <w:tc>
          <w:tcPr>
            <w:tcW w:w="501" w:type="pct"/>
            <w:shd w:val="clear" w:color="auto" w:fill="auto"/>
            <w:noWrap/>
            <w:hideMark/>
          </w:tcPr>
          <w:p w14:paraId="23AB0746" w14:textId="77777777" w:rsidR="00C922F7" w:rsidRPr="00097181" w:rsidRDefault="00C922F7" w:rsidP="00713C93">
            <w:r w:rsidRPr="00097181">
              <w:t>2.1</w:t>
            </w:r>
          </w:p>
        </w:tc>
        <w:tc>
          <w:tcPr>
            <w:tcW w:w="621" w:type="pct"/>
            <w:shd w:val="clear" w:color="auto" w:fill="auto"/>
            <w:noWrap/>
            <w:hideMark/>
          </w:tcPr>
          <w:p w14:paraId="7342D5E7" w14:textId="77777777" w:rsidR="00C922F7" w:rsidRPr="00097181" w:rsidRDefault="00C922F7" w:rsidP="00713C93">
            <w:r w:rsidRPr="00097181">
              <w:t>1 112</w:t>
            </w:r>
          </w:p>
        </w:tc>
        <w:tc>
          <w:tcPr>
            <w:tcW w:w="435" w:type="pct"/>
            <w:shd w:val="clear" w:color="auto" w:fill="auto"/>
            <w:noWrap/>
            <w:hideMark/>
          </w:tcPr>
          <w:p w14:paraId="6614F813" w14:textId="77777777" w:rsidR="00C922F7" w:rsidRPr="00097181" w:rsidRDefault="00C922F7" w:rsidP="00713C93">
            <w:r w:rsidRPr="00097181">
              <w:t>5.6</w:t>
            </w:r>
          </w:p>
        </w:tc>
        <w:tc>
          <w:tcPr>
            <w:tcW w:w="621" w:type="pct"/>
            <w:shd w:val="clear" w:color="auto" w:fill="auto"/>
            <w:noWrap/>
            <w:hideMark/>
          </w:tcPr>
          <w:p w14:paraId="4D7DE62A" w14:textId="77777777" w:rsidR="00C922F7" w:rsidRPr="00097181" w:rsidRDefault="00C922F7" w:rsidP="00713C93">
            <w:r w:rsidRPr="00097181">
              <w:t>3 351</w:t>
            </w:r>
          </w:p>
        </w:tc>
        <w:tc>
          <w:tcPr>
            <w:tcW w:w="656" w:type="pct"/>
            <w:shd w:val="clear" w:color="auto" w:fill="auto"/>
            <w:noWrap/>
            <w:hideMark/>
          </w:tcPr>
          <w:p w14:paraId="71F3BD5C" w14:textId="77777777" w:rsidR="00C922F7" w:rsidRPr="00097181" w:rsidRDefault="00C922F7" w:rsidP="00713C93">
            <w:r w:rsidRPr="00097181">
              <w:t>17</w:t>
            </w:r>
          </w:p>
        </w:tc>
      </w:tr>
      <w:tr w:rsidR="00C922F7" w:rsidRPr="00097181" w14:paraId="11DEF92B" w14:textId="77777777" w:rsidTr="001E0B61">
        <w:trPr>
          <w:trHeight w:val="315"/>
        </w:trPr>
        <w:tc>
          <w:tcPr>
            <w:tcW w:w="1704" w:type="pct"/>
            <w:shd w:val="clear" w:color="auto" w:fill="auto"/>
            <w:noWrap/>
            <w:hideMark/>
          </w:tcPr>
          <w:p w14:paraId="59BB4B99" w14:textId="77777777" w:rsidR="00C922F7" w:rsidRPr="00097181" w:rsidRDefault="00C922F7" w:rsidP="00713C93">
            <w:r w:rsidRPr="00097181">
              <w:t>Editorial material</w:t>
            </w:r>
          </w:p>
        </w:tc>
        <w:tc>
          <w:tcPr>
            <w:tcW w:w="462" w:type="pct"/>
            <w:shd w:val="clear" w:color="auto" w:fill="auto"/>
            <w:noWrap/>
            <w:hideMark/>
          </w:tcPr>
          <w:p w14:paraId="01500EBE" w14:textId="77777777" w:rsidR="00C922F7" w:rsidRPr="00097181" w:rsidRDefault="00C922F7" w:rsidP="00713C93">
            <w:r w:rsidRPr="00097181">
              <w:t>165</w:t>
            </w:r>
          </w:p>
        </w:tc>
        <w:tc>
          <w:tcPr>
            <w:tcW w:w="501" w:type="pct"/>
            <w:shd w:val="clear" w:color="auto" w:fill="auto"/>
            <w:noWrap/>
            <w:hideMark/>
          </w:tcPr>
          <w:p w14:paraId="7752408C" w14:textId="77777777" w:rsidR="00C922F7" w:rsidRPr="00097181" w:rsidRDefault="00C922F7" w:rsidP="00713C93">
            <w:r w:rsidRPr="00097181">
              <w:t>1.7</w:t>
            </w:r>
          </w:p>
        </w:tc>
        <w:tc>
          <w:tcPr>
            <w:tcW w:w="621" w:type="pct"/>
            <w:shd w:val="clear" w:color="auto" w:fill="auto"/>
            <w:noWrap/>
            <w:hideMark/>
          </w:tcPr>
          <w:p w14:paraId="29833D8A" w14:textId="77777777" w:rsidR="00C922F7" w:rsidRPr="00097181" w:rsidRDefault="00C922F7" w:rsidP="00713C93">
            <w:r w:rsidRPr="00097181">
              <w:t>715</w:t>
            </w:r>
          </w:p>
        </w:tc>
        <w:tc>
          <w:tcPr>
            <w:tcW w:w="435" w:type="pct"/>
            <w:shd w:val="clear" w:color="auto" w:fill="auto"/>
            <w:noWrap/>
            <w:hideMark/>
          </w:tcPr>
          <w:p w14:paraId="2ADC8DC2" w14:textId="77777777" w:rsidR="00C922F7" w:rsidRPr="00097181" w:rsidRDefault="00C922F7" w:rsidP="00713C93">
            <w:r w:rsidRPr="00097181">
              <w:t>4.3</w:t>
            </w:r>
          </w:p>
        </w:tc>
        <w:tc>
          <w:tcPr>
            <w:tcW w:w="621" w:type="pct"/>
            <w:shd w:val="clear" w:color="auto" w:fill="auto"/>
            <w:noWrap/>
            <w:hideMark/>
          </w:tcPr>
          <w:p w14:paraId="6A370EE9" w14:textId="77777777" w:rsidR="00C922F7" w:rsidRPr="00097181" w:rsidRDefault="00C922F7" w:rsidP="00713C93">
            <w:r w:rsidRPr="00097181">
              <w:t>944</w:t>
            </w:r>
          </w:p>
        </w:tc>
        <w:tc>
          <w:tcPr>
            <w:tcW w:w="656" w:type="pct"/>
            <w:shd w:val="clear" w:color="auto" w:fill="auto"/>
            <w:noWrap/>
            <w:hideMark/>
          </w:tcPr>
          <w:p w14:paraId="5D43ECC4" w14:textId="77777777" w:rsidR="00C922F7" w:rsidRPr="00097181" w:rsidRDefault="00C922F7" w:rsidP="00713C93">
            <w:r w:rsidRPr="00097181">
              <w:t>5.7</w:t>
            </w:r>
          </w:p>
        </w:tc>
      </w:tr>
      <w:tr w:rsidR="00C922F7" w:rsidRPr="00097181" w14:paraId="0BCC873A" w14:textId="77777777" w:rsidTr="001E0B61">
        <w:trPr>
          <w:trHeight w:val="315"/>
        </w:trPr>
        <w:tc>
          <w:tcPr>
            <w:tcW w:w="1704" w:type="pct"/>
            <w:shd w:val="clear" w:color="auto" w:fill="auto"/>
            <w:noWrap/>
            <w:hideMark/>
          </w:tcPr>
          <w:p w14:paraId="3209918E" w14:textId="77777777" w:rsidR="00C922F7" w:rsidRPr="00097181" w:rsidRDefault="00C922F7" w:rsidP="00713C93">
            <w:r w:rsidRPr="00097181">
              <w:t>Note</w:t>
            </w:r>
          </w:p>
        </w:tc>
        <w:tc>
          <w:tcPr>
            <w:tcW w:w="462" w:type="pct"/>
            <w:shd w:val="clear" w:color="auto" w:fill="auto"/>
            <w:noWrap/>
            <w:hideMark/>
          </w:tcPr>
          <w:p w14:paraId="3421D180" w14:textId="77777777" w:rsidR="00C922F7" w:rsidRPr="00097181" w:rsidRDefault="00C922F7" w:rsidP="00713C93">
            <w:r w:rsidRPr="00097181">
              <w:t>74</w:t>
            </w:r>
          </w:p>
        </w:tc>
        <w:tc>
          <w:tcPr>
            <w:tcW w:w="501" w:type="pct"/>
            <w:shd w:val="clear" w:color="auto" w:fill="auto"/>
            <w:noWrap/>
            <w:hideMark/>
          </w:tcPr>
          <w:p w14:paraId="106ED7F8" w14:textId="77777777" w:rsidR="00C922F7" w:rsidRPr="00097181" w:rsidRDefault="00C922F7" w:rsidP="00713C93">
            <w:r w:rsidRPr="00097181">
              <w:t>0.77</w:t>
            </w:r>
          </w:p>
        </w:tc>
        <w:tc>
          <w:tcPr>
            <w:tcW w:w="621" w:type="pct"/>
            <w:shd w:val="clear" w:color="auto" w:fill="auto"/>
            <w:noWrap/>
            <w:hideMark/>
          </w:tcPr>
          <w:p w14:paraId="07600EFA" w14:textId="77777777" w:rsidR="00C922F7" w:rsidRPr="00097181" w:rsidRDefault="00C922F7" w:rsidP="00713C93">
            <w:r w:rsidRPr="00097181">
              <w:t>254</w:t>
            </w:r>
          </w:p>
        </w:tc>
        <w:tc>
          <w:tcPr>
            <w:tcW w:w="435" w:type="pct"/>
            <w:shd w:val="clear" w:color="auto" w:fill="auto"/>
            <w:noWrap/>
            <w:hideMark/>
          </w:tcPr>
          <w:p w14:paraId="0B2B440C" w14:textId="77777777" w:rsidR="00C922F7" w:rsidRPr="00097181" w:rsidRDefault="00C922F7" w:rsidP="00713C93">
            <w:r w:rsidRPr="00097181">
              <w:t>3.4</w:t>
            </w:r>
          </w:p>
        </w:tc>
        <w:tc>
          <w:tcPr>
            <w:tcW w:w="621" w:type="pct"/>
            <w:shd w:val="clear" w:color="auto" w:fill="auto"/>
            <w:noWrap/>
            <w:hideMark/>
          </w:tcPr>
          <w:p w14:paraId="15DE2ED1" w14:textId="77777777" w:rsidR="00C922F7" w:rsidRPr="00097181" w:rsidRDefault="00C922F7" w:rsidP="00713C93">
            <w:r w:rsidRPr="00097181">
              <w:t>936</w:t>
            </w:r>
          </w:p>
        </w:tc>
        <w:tc>
          <w:tcPr>
            <w:tcW w:w="656" w:type="pct"/>
            <w:shd w:val="clear" w:color="auto" w:fill="auto"/>
            <w:noWrap/>
            <w:hideMark/>
          </w:tcPr>
          <w:p w14:paraId="07B6D315" w14:textId="77777777" w:rsidR="00C922F7" w:rsidRPr="00097181" w:rsidRDefault="00C922F7" w:rsidP="00713C93">
            <w:r w:rsidRPr="00097181">
              <w:t>13</w:t>
            </w:r>
          </w:p>
        </w:tc>
      </w:tr>
      <w:tr w:rsidR="00C922F7" w:rsidRPr="00097181" w14:paraId="3E9A6433" w14:textId="77777777" w:rsidTr="001E0B61">
        <w:trPr>
          <w:trHeight w:val="315"/>
        </w:trPr>
        <w:tc>
          <w:tcPr>
            <w:tcW w:w="1704" w:type="pct"/>
            <w:shd w:val="clear" w:color="auto" w:fill="auto"/>
            <w:noWrap/>
            <w:hideMark/>
          </w:tcPr>
          <w:p w14:paraId="406C7132" w14:textId="77777777" w:rsidR="00C922F7" w:rsidRPr="00097181" w:rsidRDefault="00C922F7" w:rsidP="00713C93">
            <w:r w:rsidRPr="00097181">
              <w:t>Correction</w:t>
            </w:r>
          </w:p>
        </w:tc>
        <w:tc>
          <w:tcPr>
            <w:tcW w:w="462" w:type="pct"/>
            <w:shd w:val="clear" w:color="auto" w:fill="auto"/>
            <w:noWrap/>
            <w:hideMark/>
          </w:tcPr>
          <w:p w14:paraId="1B3F5CB0" w14:textId="77777777" w:rsidR="00C922F7" w:rsidRPr="00097181" w:rsidRDefault="00C922F7" w:rsidP="00713C93">
            <w:r w:rsidRPr="00097181">
              <w:t>31</w:t>
            </w:r>
          </w:p>
        </w:tc>
        <w:tc>
          <w:tcPr>
            <w:tcW w:w="501" w:type="pct"/>
            <w:shd w:val="clear" w:color="auto" w:fill="auto"/>
            <w:noWrap/>
            <w:hideMark/>
          </w:tcPr>
          <w:p w14:paraId="68D39763" w14:textId="77777777" w:rsidR="00C922F7" w:rsidRPr="00097181" w:rsidRDefault="00C922F7" w:rsidP="00713C93">
            <w:r w:rsidRPr="00097181">
              <w:t>0.32</w:t>
            </w:r>
          </w:p>
        </w:tc>
        <w:tc>
          <w:tcPr>
            <w:tcW w:w="621" w:type="pct"/>
            <w:shd w:val="clear" w:color="auto" w:fill="auto"/>
            <w:noWrap/>
            <w:hideMark/>
          </w:tcPr>
          <w:p w14:paraId="1863ADCC" w14:textId="77777777" w:rsidR="00C922F7" w:rsidRPr="00097181" w:rsidRDefault="00C922F7" w:rsidP="00713C93">
            <w:r w:rsidRPr="00097181">
              <w:t>6 057</w:t>
            </w:r>
          </w:p>
        </w:tc>
        <w:tc>
          <w:tcPr>
            <w:tcW w:w="435" w:type="pct"/>
            <w:shd w:val="clear" w:color="auto" w:fill="auto"/>
            <w:noWrap/>
            <w:hideMark/>
          </w:tcPr>
          <w:p w14:paraId="430F361D" w14:textId="77777777" w:rsidR="00C922F7" w:rsidRPr="00097181" w:rsidRDefault="00C922F7" w:rsidP="00713C93">
            <w:r w:rsidRPr="00097181">
              <w:t>195</w:t>
            </w:r>
          </w:p>
        </w:tc>
        <w:tc>
          <w:tcPr>
            <w:tcW w:w="621" w:type="pct"/>
            <w:shd w:val="clear" w:color="auto" w:fill="auto"/>
            <w:noWrap/>
            <w:hideMark/>
          </w:tcPr>
          <w:p w14:paraId="399BC98E" w14:textId="77777777" w:rsidR="00C922F7" w:rsidRPr="00097181" w:rsidRDefault="00C922F7" w:rsidP="00713C93">
            <w:r w:rsidRPr="00097181">
              <w:t>21</w:t>
            </w:r>
          </w:p>
        </w:tc>
        <w:tc>
          <w:tcPr>
            <w:tcW w:w="656" w:type="pct"/>
            <w:shd w:val="clear" w:color="auto" w:fill="auto"/>
            <w:noWrap/>
            <w:hideMark/>
          </w:tcPr>
          <w:p w14:paraId="28903051" w14:textId="77777777" w:rsidR="00C922F7" w:rsidRPr="00097181" w:rsidRDefault="00C922F7" w:rsidP="00713C93">
            <w:r w:rsidRPr="00097181">
              <w:t>0.68</w:t>
            </w:r>
          </w:p>
        </w:tc>
      </w:tr>
      <w:tr w:rsidR="00C922F7" w:rsidRPr="00097181" w14:paraId="4E163EA7" w14:textId="77777777" w:rsidTr="001E0B61">
        <w:trPr>
          <w:trHeight w:val="315"/>
        </w:trPr>
        <w:tc>
          <w:tcPr>
            <w:tcW w:w="1704" w:type="pct"/>
            <w:shd w:val="clear" w:color="auto" w:fill="auto"/>
            <w:noWrap/>
            <w:hideMark/>
          </w:tcPr>
          <w:p w14:paraId="4402CB06" w14:textId="77777777" w:rsidR="00C922F7" w:rsidRPr="00097181" w:rsidRDefault="00C922F7" w:rsidP="00713C93">
            <w:r w:rsidRPr="00097181">
              <w:t>Book chapter</w:t>
            </w:r>
          </w:p>
        </w:tc>
        <w:tc>
          <w:tcPr>
            <w:tcW w:w="462" w:type="pct"/>
            <w:shd w:val="clear" w:color="auto" w:fill="auto"/>
            <w:noWrap/>
            <w:hideMark/>
          </w:tcPr>
          <w:p w14:paraId="3A337E7F" w14:textId="77777777" w:rsidR="00C922F7" w:rsidRPr="00097181" w:rsidRDefault="00C922F7" w:rsidP="00713C93">
            <w:r w:rsidRPr="00097181">
              <w:t>13</w:t>
            </w:r>
          </w:p>
        </w:tc>
        <w:tc>
          <w:tcPr>
            <w:tcW w:w="501" w:type="pct"/>
            <w:shd w:val="clear" w:color="auto" w:fill="auto"/>
            <w:noWrap/>
            <w:hideMark/>
          </w:tcPr>
          <w:p w14:paraId="64889564" w14:textId="77777777" w:rsidR="00C922F7" w:rsidRPr="00097181" w:rsidRDefault="00C922F7" w:rsidP="00713C93">
            <w:r w:rsidRPr="00097181">
              <w:t>0.13</w:t>
            </w:r>
          </w:p>
        </w:tc>
        <w:tc>
          <w:tcPr>
            <w:tcW w:w="621" w:type="pct"/>
            <w:shd w:val="clear" w:color="auto" w:fill="auto"/>
            <w:noWrap/>
            <w:hideMark/>
          </w:tcPr>
          <w:p w14:paraId="66D81390" w14:textId="77777777" w:rsidR="00C922F7" w:rsidRPr="00097181" w:rsidRDefault="00C922F7" w:rsidP="00713C93">
            <w:r w:rsidRPr="00097181">
              <w:t>73</w:t>
            </w:r>
          </w:p>
        </w:tc>
        <w:tc>
          <w:tcPr>
            <w:tcW w:w="435" w:type="pct"/>
            <w:shd w:val="clear" w:color="auto" w:fill="auto"/>
            <w:noWrap/>
            <w:hideMark/>
          </w:tcPr>
          <w:p w14:paraId="0A736D48" w14:textId="77777777" w:rsidR="00C922F7" w:rsidRPr="00097181" w:rsidRDefault="00C922F7" w:rsidP="00713C93">
            <w:r w:rsidRPr="00097181">
              <w:t>5.6</w:t>
            </w:r>
          </w:p>
        </w:tc>
        <w:tc>
          <w:tcPr>
            <w:tcW w:w="621" w:type="pct"/>
            <w:shd w:val="clear" w:color="auto" w:fill="auto"/>
            <w:noWrap/>
            <w:hideMark/>
          </w:tcPr>
          <w:p w14:paraId="09342133" w14:textId="77777777" w:rsidR="00C922F7" w:rsidRPr="00097181" w:rsidRDefault="00C922F7" w:rsidP="00713C93">
            <w:r w:rsidRPr="00097181">
              <w:t>805</w:t>
            </w:r>
          </w:p>
        </w:tc>
        <w:tc>
          <w:tcPr>
            <w:tcW w:w="656" w:type="pct"/>
            <w:shd w:val="clear" w:color="auto" w:fill="auto"/>
            <w:noWrap/>
            <w:hideMark/>
          </w:tcPr>
          <w:p w14:paraId="2FEA644A" w14:textId="77777777" w:rsidR="00C922F7" w:rsidRPr="00097181" w:rsidRDefault="00C922F7" w:rsidP="00713C93">
            <w:r w:rsidRPr="00097181">
              <w:t>62</w:t>
            </w:r>
          </w:p>
        </w:tc>
      </w:tr>
      <w:tr w:rsidR="00C922F7" w:rsidRPr="00097181" w14:paraId="69F45F25" w14:textId="77777777" w:rsidTr="001E0B61">
        <w:trPr>
          <w:trHeight w:val="315"/>
        </w:trPr>
        <w:tc>
          <w:tcPr>
            <w:tcW w:w="1704" w:type="pct"/>
            <w:shd w:val="clear" w:color="auto" w:fill="auto"/>
            <w:noWrap/>
            <w:hideMark/>
          </w:tcPr>
          <w:p w14:paraId="466E695B" w14:textId="77777777" w:rsidR="00C922F7" w:rsidRPr="00097181" w:rsidRDefault="00C922F7" w:rsidP="00713C93">
            <w:r w:rsidRPr="00097181">
              <w:t>News item</w:t>
            </w:r>
          </w:p>
        </w:tc>
        <w:tc>
          <w:tcPr>
            <w:tcW w:w="462" w:type="pct"/>
            <w:shd w:val="clear" w:color="auto" w:fill="auto"/>
            <w:noWrap/>
            <w:hideMark/>
          </w:tcPr>
          <w:p w14:paraId="14CC95FD" w14:textId="77777777" w:rsidR="00C922F7" w:rsidRPr="00097181" w:rsidRDefault="00C922F7" w:rsidP="00713C93">
            <w:r w:rsidRPr="00097181">
              <w:t>13</w:t>
            </w:r>
          </w:p>
        </w:tc>
        <w:tc>
          <w:tcPr>
            <w:tcW w:w="501" w:type="pct"/>
            <w:shd w:val="clear" w:color="auto" w:fill="auto"/>
            <w:noWrap/>
            <w:hideMark/>
          </w:tcPr>
          <w:p w14:paraId="07A2BACB" w14:textId="77777777" w:rsidR="00C922F7" w:rsidRPr="00097181" w:rsidRDefault="00C922F7" w:rsidP="00713C93">
            <w:r w:rsidRPr="00097181">
              <w:t>0.13</w:t>
            </w:r>
          </w:p>
        </w:tc>
        <w:tc>
          <w:tcPr>
            <w:tcW w:w="621" w:type="pct"/>
            <w:shd w:val="clear" w:color="auto" w:fill="auto"/>
            <w:noWrap/>
            <w:hideMark/>
          </w:tcPr>
          <w:p w14:paraId="08E4B3D9" w14:textId="77777777" w:rsidR="00C922F7" w:rsidRPr="00097181" w:rsidRDefault="00C922F7" w:rsidP="00713C93">
            <w:r w:rsidRPr="00097181">
              <w:t>69</w:t>
            </w:r>
          </w:p>
        </w:tc>
        <w:tc>
          <w:tcPr>
            <w:tcW w:w="435" w:type="pct"/>
            <w:shd w:val="clear" w:color="auto" w:fill="auto"/>
            <w:noWrap/>
            <w:hideMark/>
          </w:tcPr>
          <w:p w14:paraId="48D444DA" w14:textId="77777777" w:rsidR="00C922F7" w:rsidRPr="00097181" w:rsidRDefault="00C922F7" w:rsidP="00713C93">
            <w:r w:rsidRPr="00097181">
              <w:t>5.3</w:t>
            </w:r>
          </w:p>
        </w:tc>
        <w:tc>
          <w:tcPr>
            <w:tcW w:w="621" w:type="pct"/>
            <w:shd w:val="clear" w:color="auto" w:fill="auto"/>
            <w:noWrap/>
            <w:hideMark/>
          </w:tcPr>
          <w:p w14:paraId="126241CE" w14:textId="77777777" w:rsidR="00C922F7" w:rsidRPr="00097181" w:rsidRDefault="00C922F7" w:rsidP="00713C93">
            <w:r w:rsidRPr="00097181">
              <w:t>17</w:t>
            </w:r>
          </w:p>
        </w:tc>
        <w:tc>
          <w:tcPr>
            <w:tcW w:w="656" w:type="pct"/>
            <w:shd w:val="clear" w:color="auto" w:fill="auto"/>
            <w:noWrap/>
            <w:hideMark/>
          </w:tcPr>
          <w:p w14:paraId="5E8330CF" w14:textId="77777777" w:rsidR="00C922F7" w:rsidRPr="00097181" w:rsidRDefault="00C922F7" w:rsidP="00713C93">
            <w:r w:rsidRPr="00097181">
              <w:t>1.3</w:t>
            </w:r>
          </w:p>
        </w:tc>
      </w:tr>
      <w:tr w:rsidR="00C922F7" w:rsidRPr="00097181" w14:paraId="59DFE852" w14:textId="77777777" w:rsidTr="001E0B61">
        <w:trPr>
          <w:trHeight w:val="315"/>
        </w:trPr>
        <w:tc>
          <w:tcPr>
            <w:tcW w:w="1704" w:type="pct"/>
            <w:shd w:val="clear" w:color="auto" w:fill="auto"/>
            <w:noWrap/>
            <w:hideMark/>
          </w:tcPr>
          <w:p w14:paraId="5EF3087F" w14:textId="77777777" w:rsidR="00C922F7" w:rsidRPr="00097181" w:rsidRDefault="00C922F7" w:rsidP="00713C93">
            <w:r w:rsidRPr="00097181">
              <w:t>Biographical-item</w:t>
            </w:r>
          </w:p>
        </w:tc>
        <w:tc>
          <w:tcPr>
            <w:tcW w:w="462" w:type="pct"/>
            <w:shd w:val="clear" w:color="auto" w:fill="auto"/>
            <w:noWrap/>
            <w:hideMark/>
          </w:tcPr>
          <w:p w14:paraId="2C99EC38" w14:textId="77777777" w:rsidR="00C922F7" w:rsidRPr="00097181" w:rsidRDefault="00C922F7" w:rsidP="00713C93">
            <w:r w:rsidRPr="00097181">
              <w:t>5</w:t>
            </w:r>
          </w:p>
        </w:tc>
        <w:tc>
          <w:tcPr>
            <w:tcW w:w="501" w:type="pct"/>
            <w:shd w:val="clear" w:color="auto" w:fill="auto"/>
            <w:noWrap/>
            <w:hideMark/>
          </w:tcPr>
          <w:p w14:paraId="2807F264" w14:textId="77777777" w:rsidR="00C922F7" w:rsidRPr="00097181" w:rsidRDefault="00C922F7" w:rsidP="00713C93">
            <w:r w:rsidRPr="00097181">
              <w:t>0.052</w:t>
            </w:r>
          </w:p>
        </w:tc>
        <w:tc>
          <w:tcPr>
            <w:tcW w:w="621" w:type="pct"/>
            <w:shd w:val="clear" w:color="auto" w:fill="auto"/>
            <w:noWrap/>
            <w:hideMark/>
          </w:tcPr>
          <w:p w14:paraId="53EABC32" w14:textId="77777777" w:rsidR="00C922F7" w:rsidRPr="00097181" w:rsidRDefault="00C922F7" w:rsidP="00713C93">
            <w:r w:rsidRPr="00097181">
              <w:t>9</w:t>
            </w:r>
          </w:p>
        </w:tc>
        <w:tc>
          <w:tcPr>
            <w:tcW w:w="435" w:type="pct"/>
            <w:shd w:val="clear" w:color="auto" w:fill="auto"/>
            <w:noWrap/>
            <w:hideMark/>
          </w:tcPr>
          <w:p w14:paraId="6F42AA25" w14:textId="77777777" w:rsidR="00C922F7" w:rsidRPr="00097181" w:rsidRDefault="00C922F7" w:rsidP="00713C93">
            <w:r w:rsidRPr="00097181">
              <w:t>1.8</w:t>
            </w:r>
          </w:p>
        </w:tc>
        <w:tc>
          <w:tcPr>
            <w:tcW w:w="621" w:type="pct"/>
            <w:shd w:val="clear" w:color="auto" w:fill="auto"/>
            <w:noWrap/>
            <w:hideMark/>
          </w:tcPr>
          <w:p w14:paraId="6B86416E" w14:textId="77777777" w:rsidR="00C922F7" w:rsidRPr="00097181" w:rsidRDefault="00C922F7" w:rsidP="00713C93">
            <w:r w:rsidRPr="00097181">
              <w:t>0</w:t>
            </w:r>
          </w:p>
        </w:tc>
        <w:tc>
          <w:tcPr>
            <w:tcW w:w="656" w:type="pct"/>
            <w:shd w:val="clear" w:color="auto" w:fill="auto"/>
            <w:noWrap/>
            <w:hideMark/>
          </w:tcPr>
          <w:p w14:paraId="1888F9B2" w14:textId="77777777" w:rsidR="00C922F7" w:rsidRPr="00097181" w:rsidRDefault="00C922F7" w:rsidP="00713C93">
            <w:r w:rsidRPr="00097181">
              <w:t>0</w:t>
            </w:r>
          </w:p>
        </w:tc>
      </w:tr>
      <w:tr w:rsidR="00C922F7" w:rsidRPr="00097181" w14:paraId="6A763F37" w14:textId="77777777" w:rsidTr="001E0B61">
        <w:trPr>
          <w:trHeight w:val="315"/>
        </w:trPr>
        <w:tc>
          <w:tcPr>
            <w:tcW w:w="1704" w:type="pct"/>
            <w:shd w:val="clear" w:color="auto" w:fill="auto"/>
            <w:noWrap/>
            <w:hideMark/>
          </w:tcPr>
          <w:p w14:paraId="7DE076A4" w14:textId="77777777" w:rsidR="00C922F7" w:rsidRPr="00097181" w:rsidRDefault="00C922F7" w:rsidP="00713C93">
            <w:r w:rsidRPr="00097181">
              <w:t>Book review</w:t>
            </w:r>
          </w:p>
        </w:tc>
        <w:tc>
          <w:tcPr>
            <w:tcW w:w="462" w:type="pct"/>
            <w:shd w:val="clear" w:color="auto" w:fill="auto"/>
            <w:noWrap/>
            <w:hideMark/>
          </w:tcPr>
          <w:p w14:paraId="27345E27" w14:textId="77777777" w:rsidR="00C922F7" w:rsidRPr="00097181" w:rsidRDefault="00C922F7" w:rsidP="00713C93">
            <w:r w:rsidRPr="00097181">
              <w:t>3</w:t>
            </w:r>
          </w:p>
        </w:tc>
        <w:tc>
          <w:tcPr>
            <w:tcW w:w="501" w:type="pct"/>
            <w:shd w:val="clear" w:color="auto" w:fill="auto"/>
            <w:noWrap/>
            <w:hideMark/>
          </w:tcPr>
          <w:p w14:paraId="1F0CB94A" w14:textId="77777777" w:rsidR="00C922F7" w:rsidRPr="00097181" w:rsidRDefault="00C922F7" w:rsidP="00713C93">
            <w:r w:rsidRPr="00097181">
              <w:t>0.031</w:t>
            </w:r>
          </w:p>
        </w:tc>
        <w:tc>
          <w:tcPr>
            <w:tcW w:w="621" w:type="pct"/>
            <w:shd w:val="clear" w:color="auto" w:fill="auto"/>
            <w:noWrap/>
            <w:hideMark/>
          </w:tcPr>
          <w:p w14:paraId="462D0B6C" w14:textId="77777777" w:rsidR="00C922F7" w:rsidRPr="00097181" w:rsidRDefault="00C922F7" w:rsidP="00713C93">
            <w:r w:rsidRPr="00097181">
              <w:t>3</w:t>
            </w:r>
          </w:p>
        </w:tc>
        <w:tc>
          <w:tcPr>
            <w:tcW w:w="435" w:type="pct"/>
            <w:shd w:val="clear" w:color="auto" w:fill="auto"/>
            <w:noWrap/>
            <w:hideMark/>
          </w:tcPr>
          <w:p w14:paraId="491C0946" w14:textId="77777777" w:rsidR="00C922F7" w:rsidRPr="00097181" w:rsidRDefault="00C922F7" w:rsidP="00713C93">
            <w:r w:rsidRPr="00097181">
              <w:t>1.0</w:t>
            </w:r>
          </w:p>
        </w:tc>
        <w:tc>
          <w:tcPr>
            <w:tcW w:w="621" w:type="pct"/>
            <w:shd w:val="clear" w:color="auto" w:fill="auto"/>
            <w:noWrap/>
            <w:hideMark/>
          </w:tcPr>
          <w:p w14:paraId="539C9081" w14:textId="77777777" w:rsidR="00C922F7" w:rsidRPr="00097181" w:rsidRDefault="00C922F7" w:rsidP="00713C93">
            <w:r w:rsidRPr="00097181">
              <w:t>0</w:t>
            </w:r>
          </w:p>
        </w:tc>
        <w:tc>
          <w:tcPr>
            <w:tcW w:w="656" w:type="pct"/>
            <w:shd w:val="clear" w:color="auto" w:fill="auto"/>
            <w:noWrap/>
            <w:hideMark/>
          </w:tcPr>
          <w:p w14:paraId="3860890B" w14:textId="77777777" w:rsidR="00C922F7" w:rsidRPr="00097181" w:rsidRDefault="00C922F7" w:rsidP="00713C93">
            <w:r w:rsidRPr="00097181">
              <w:t>0</w:t>
            </w:r>
          </w:p>
        </w:tc>
      </w:tr>
      <w:tr w:rsidR="00C922F7" w:rsidRPr="00097181" w14:paraId="6850238A" w14:textId="77777777" w:rsidTr="001E0B61">
        <w:trPr>
          <w:trHeight w:val="315"/>
        </w:trPr>
        <w:tc>
          <w:tcPr>
            <w:tcW w:w="1704" w:type="pct"/>
            <w:shd w:val="clear" w:color="auto" w:fill="auto"/>
            <w:noWrap/>
            <w:hideMark/>
          </w:tcPr>
          <w:p w14:paraId="5564011D" w14:textId="77777777" w:rsidR="00C922F7" w:rsidRPr="00097181" w:rsidRDefault="00C922F7" w:rsidP="00713C93">
            <w:r w:rsidRPr="00097181">
              <w:t>Reprint</w:t>
            </w:r>
          </w:p>
        </w:tc>
        <w:tc>
          <w:tcPr>
            <w:tcW w:w="462" w:type="pct"/>
            <w:shd w:val="clear" w:color="auto" w:fill="auto"/>
            <w:noWrap/>
            <w:hideMark/>
          </w:tcPr>
          <w:p w14:paraId="788B9118" w14:textId="77777777" w:rsidR="00C922F7" w:rsidRPr="00097181" w:rsidRDefault="00C922F7" w:rsidP="00713C93">
            <w:r w:rsidRPr="00097181">
              <w:t>3</w:t>
            </w:r>
          </w:p>
        </w:tc>
        <w:tc>
          <w:tcPr>
            <w:tcW w:w="501" w:type="pct"/>
            <w:shd w:val="clear" w:color="auto" w:fill="auto"/>
            <w:noWrap/>
            <w:hideMark/>
          </w:tcPr>
          <w:p w14:paraId="1D4A4493" w14:textId="77777777" w:rsidR="00C922F7" w:rsidRPr="00097181" w:rsidRDefault="00C922F7" w:rsidP="00713C93">
            <w:r w:rsidRPr="00097181">
              <w:t>0.031</w:t>
            </w:r>
          </w:p>
        </w:tc>
        <w:tc>
          <w:tcPr>
            <w:tcW w:w="621" w:type="pct"/>
            <w:shd w:val="clear" w:color="auto" w:fill="auto"/>
            <w:noWrap/>
            <w:hideMark/>
          </w:tcPr>
          <w:p w14:paraId="453582CF" w14:textId="77777777" w:rsidR="00C922F7" w:rsidRPr="00097181" w:rsidRDefault="00C922F7" w:rsidP="00713C93">
            <w:r w:rsidRPr="00097181">
              <w:t>7</w:t>
            </w:r>
          </w:p>
        </w:tc>
        <w:tc>
          <w:tcPr>
            <w:tcW w:w="435" w:type="pct"/>
            <w:shd w:val="clear" w:color="auto" w:fill="auto"/>
            <w:noWrap/>
            <w:hideMark/>
          </w:tcPr>
          <w:p w14:paraId="30E81D03" w14:textId="77777777" w:rsidR="00C922F7" w:rsidRPr="00097181" w:rsidRDefault="00C922F7" w:rsidP="00713C93">
            <w:r w:rsidRPr="00097181">
              <w:t>2.3</w:t>
            </w:r>
          </w:p>
        </w:tc>
        <w:tc>
          <w:tcPr>
            <w:tcW w:w="621" w:type="pct"/>
            <w:shd w:val="clear" w:color="auto" w:fill="auto"/>
            <w:noWrap/>
            <w:hideMark/>
          </w:tcPr>
          <w:p w14:paraId="53ADBF73" w14:textId="77777777" w:rsidR="00C922F7" w:rsidRPr="00097181" w:rsidRDefault="00C922F7" w:rsidP="00713C93">
            <w:r w:rsidRPr="00097181">
              <w:t>56</w:t>
            </w:r>
          </w:p>
        </w:tc>
        <w:tc>
          <w:tcPr>
            <w:tcW w:w="656" w:type="pct"/>
            <w:shd w:val="clear" w:color="auto" w:fill="auto"/>
            <w:noWrap/>
            <w:hideMark/>
          </w:tcPr>
          <w:p w14:paraId="4B9683EE" w14:textId="77777777" w:rsidR="00C922F7" w:rsidRPr="00097181" w:rsidRDefault="00C922F7" w:rsidP="00713C93">
            <w:r w:rsidRPr="00097181">
              <w:t>19</w:t>
            </w:r>
          </w:p>
        </w:tc>
      </w:tr>
      <w:tr w:rsidR="00C922F7" w:rsidRPr="00097181" w14:paraId="6B70F5D0" w14:textId="77777777" w:rsidTr="001E0B61">
        <w:trPr>
          <w:trHeight w:val="315"/>
        </w:trPr>
        <w:tc>
          <w:tcPr>
            <w:tcW w:w="1704" w:type="pct"/>
            <w:shd w:val="clear" w:color="auto" w:fill="auto"/>
            <w:noWrap/>
            <w:hideMark/>
          </w:tcPr>
          <w:p w14:paraId="65705C6B" w14:textId="77777777" w:rsidR="00C922F7" w:rsidRPr="00097181" w:rsidRDefault="00C922F7" w:rsidP="00713C93">
            <w:r w:rsidRPr="00097181">
              <w:t>Data paper</w:t>
            </w:r>
          </w:p>
        </w:tc>
        <w:tc>
          <w:tcPr>
            <w:tcW w:w="462" w:type="pct"/>
            <w:shd w:val="clear" w:color="auto" w:fill="auto"/>
            <w:noWrap/>
            <w:hideMark/>
          </w:tcPr>
          <w:p w14:paraId="2296554E" w14:textId="77777777" w:rsidR="00C922F7" w:rsidRPr="00097181" w:rsidRDefault="00C922F7" w:rsidP="00713C93">
            <w:r w:rsidRPr="00097181">
              <w:t>2</w:t>
            </w:r>
          </w:p>
        </w:tc>
        <w:tc>
          <w:tcPr>
            <w:tcW w:w="501" w:type="pct"/>
            <w:shd w:val="clear" w:color="auto" w:fill="auto"/>
            <w:noWrap/>
            <w:hideMark/>
          </w:tcPr>
          <w:p w14:paraId="7C536268" w14:textId="77777777" w:rsidR="00C922F7" w:rsidRPr="00097181" w:rsidRDefault="00C922F7" w:rsidP="00713C93">
            <w:r w:rsidRPr="00097181">
              <w:t>0.021</w:t>
            </w:r>
          </w:p>
        </w:tc>
        <w:tc>
          <w:tcPr>
            <w:tcW w:w="621" w:type="pct"/>
            <w:shd w:val="clear" w:color="auto" w:fill="auto"/>
            <w:noWrap/>
            <w:hideMark/>
          </w:tcPr>
          <w:p w14:paraId="25F31E27" w14:textId="77777777" w:rsidR="00C922F7" w:rsidRPr="00097181" w:rsidRDefault="00C922F7" w:rsidP="00713C93">
            <w:r w:rsidRPr="00097181">
              <w:t>48</w:t>
            </w:r>
          </w:p>
        </w:tc>
        <w:tc>
          <w:tcPr>
            <w:tcW w:w="435" w:type="pct"/>
            <w:shd w:val="clear" w:color="auto" w:fill="auto"/>
            <w:noWrap/>
            <w:hideMark/>
          </w:tcPr>
          <w:p w14:paraId="7AD88712" w14:textId="77777777" w:rsidR="00C922F7" w:rsidRPr="00097181" w:rsidRDefault="00C922F7" w:rsidP="00713C93">
            <w:r w:rsidRPr="00097181">
              <w:t>24</w:t>
            </w:r>
          </w:p>
        </w:tc>
        <w:tc>
          <w:tcPr>
            <w:tcW w:w="621" w:type="pct"/>
            <w:shd w:val="clear" w:color="auto" w:fill="auto"/>
            <w:noWrap/>
            <w:hideMark/>
          </w:tcPr>
          <w:p w14:paraId="5FC2B3A0" w14:textId="77777777" w:rsidR="00C922F7" w:rsidRPr="00097181" w:rsidRDefault="00C922F7" w:rsidP="00713C93">
            <w:r w:rsidRPr="00097181">
              <w:t>5</w:t>
            </w:r>
          </w:p>
        </w:tc>
        <w:tc>
          <w:tcPr>
            <w:tcW w:w="656" w:type="pct"/>
            <w:shd w:val="clear" w:color="auto" w:fill="auto"/>
            <w:noWrap/>
            <w:hideMark/>
          </w:tcPr>
          <w:p w14:paraId="4B71E527" w14:textId="77777777" w:rsidR="00C922F7" w:rsidRPr="00097181" w:rsidRDefault="00C922F7" w:rsidP="00713C93">
            <w:r w:rsidRPr="00097181">
              <w:t>2.5</w:t>
            </w:r>
          </w:p>
        </w:tc>
      </w:tr>
      <w:tr w:rsidR="00C922F7" w:rsidRPr="00097181" w14:paraId="476F4817" w14:textId="77777777" w:rsidTr="001E0B61">
        <w:trPr>
          <w:trHeight w:val="315"/>
        </w:trPr>
        <w:tc>
          <w:tcPr>
            <w:tcW w:w="1704" w:type="pct"/>
            <w:tcBorders>
              <w:bottom w:val="nil"/>
            </w:tcBorders>
            <w:shd w:val="clear" w:color="auto" w:fill="auto"/>
            <w:noWrap/>
            <w:hideMark/>
          </w:tcPr>
          <w:p w14:paraId="679314EF" w14:textId="77777777" w:rsidR="00C922F7" w:rsidRPr="00097181" w:rsidRDefault="00C922F7" w:rsidP="00713C93">
            <w:r w:rsidRPr="00097181">
              <w:t>Discussion</w:t>
            </w:r>
          </w:p>
        </w:tc>
        <w:tc>
          <w:tcPr>
            <w:tcW w:w="462" w:type="pct"/>
            <w:tcBorders>
              <w:bottom w:val="nil"/>
            </w:tcBorders>
            <w:shd w:val="clear" w:color="auto" w:fill="auto"/>
            <w:noWrap/>
            <w:hideMark/>
          </w:tcPr>
          <w:p w14:paraId="10971614" w14:textId="77777777" w:rsidR="00C922F7" w:rsidRPr="00097181" w:rsidRDefault="00C922F7" w:rsidP="00713C93">
            <w:r w:rsidRPr="00097181">
              <w:t>1</w:t>
            </w:r>
          </w:p>
        </w:tc>
        <w:tc>
          <w:tcPr>
            <w:tcW w:w="501" w:type="pct"/>
            <w:tcBorders>
              <w:bottom w:val="nil"/>
            </w:tcBorders>
            <w:shd w:val="clear" w:color="auto" w:fill="auto"/>
            <w:noWrap/>
            <w:hideMark/>
          </w:tcPr>
          <w:p w14:paraId="0F36BD68" w14:textId="77777777" w:rsidR="00C922F7" w:rsidRPr="00097181" w:rsidRDefault="00C922F7" w:rsidP="00713C93">
            <w:r w:rsidRPr="00097181">
              <w:t>0.010</w:t>
            </w:r>
          </w:p>
        </w:tc>
        <w:tc>
          <w:tcPr>
            <w:tcW w:w="621" w:type="pct"/>
            <w:tcBorders>
              <w:bottom w:val="nil"/>
            </w:tcBorders>
            <w:shd w:val="clear" w:color="auto" w:fill="auto"/>
            <w:noWrap/>
            <w:hideMark/>
          </w:tcPr>
          <w:p w14:paraId="420D04D7" w14:textId="77777777" w:rsidR="00C922F7" w:rsidRPr="00097181" w:rsidRDefault="00C922F7" w:rsidP="00713C93">
            <w:r w:rsidRPr="00097181">
              <w:t>5</w:t>
            </w:r>
          </w:p>
        </w:tc>
        <w:tc>
          <w:tcPr>
            <w:tcW w:w="435" w:type="pct"/>
            <w:tcBorders>
              <w:bottom w:val="nil"/>
            </w:tcBorders>
            <w:shd w:val="clear" w:color="auto" w:fill="auto"/>
            <w:noWrap/>
            <w:hideMark/>
          </w:tcPr>
          <w:p w14:paraId="087F7F94" w14:textId="77777777" w:rsidR="00C922F7" w:rsidRPr="00097181" w:rsidRDefault="00C922F7" w:rsidP="00713C93">
            <w:r w:rsidRPr="00097181">
              <w:t>5.0</w:t>
            </w:r>
          </w:p>
        </w:tc>
        <w:tc>
          <w:tcPr>
            <w:tcW w:w="621" w:type="pct"/>
            <w:tcBorders>
              <w:bottom w:val="nil"/>
            </w:tcBorders>
            <w:shd w:val="clear" w:color="auto" w:fill="auto"/>
            <w:noWrap/>
            <w:hideMark/>
          </w:tcPr>
          <w:p w14:paraId="1E4E1195" w14:textId="77777777" w:rsidR="00C922F7" w:rsidRPr="00097181" w:rsidRDefault="00C922F7" w:rsidP="00713C93">
            <w:r w:rsidRPr="00097181">
              <w:t>0</w:t>
            </w:r>
          </w:p>
        </w:tc>
        <w:tc>
          <w:tcPr>
            <w:tcW w:w="656" w:type="pct"/>
            <w:tcBorders>
              <w:bottom w:val="nil"/>
            </w:tcBorders>
            <w:shd w:val="clear" w:color="auto" w:fill="auto"/>
            <w:noWrap/>
            <w:hideMark/>
          </w:tcPr>
          <w:p w14:paraId="3405392D" w14:textId="77777777" w:rsidR="00C922F7" w:rsidRPr="00097181" w:rsidRDefault="00C922F7" w:rsidP="00713C93">
            <w:r w:rsidRPr="00097181">
              <w:t>0</w:t>
            </w:r>
          </w:p>
        </w:tc>
      </w:tr>
      <w:tr w:rsidR="00C922F7" w:rsidRPr="00097181" w14:paraId="712DC55B" w14:textId="77777777" w:rsidTr="001E0B61">
        <w:trPr>
          <w:trHeight w:val="315"/>
        </w:trPr>
        <w:tc>
          <w:tcPr>
            <w:tcW w:w="1704" w:type="pct"/>
            <w:tcBorders>
              <w:top w:val="nil"/>
              <w:bottom w:val="nil"/>
            </w:tcBorders>
            <w:shd w:val="clear" w:color="auto" w:fill="auto"/>
            <w:noWrap/>
            <w:hideMark/>
          </w:tcPr>
          <w:p w14:paraId="132D84E8" w14:textId="77777777" w:rsidR="00C922F7" w:rsidRPr="00097181" w:rsidRDefault="00C922F7" w:rsidP="00713C93">
            <w:r w:rsidRPr="00097181">
              <w:t>Item about an individual</w:t>
            </w:r>
          </w:p>
        </w:tc>
        <w:tc>
          <w:tcPr>
            <w:tcW w:w="462" w:type="pct"/>
            <w:tcBorders>
              <w:top w:val="nil"/>
              <w:bottom w:val="nil"/>
            </w:tcBorders>
            <w:shd w:val="clear" w:color="auto" w:fill="auto"/>
            <w:noWrap/>
            <w:hideMark/>
          </w:tcPr>
          <w:p w14:paraId="545076FF" w14:textId="77777777" w:rsidR="00C922F7" w:rsidRPr="00097181" w:rsidRDefault="00C922F7" w:rsidP="00713C93">
            <w:r w:rsidRPr="00097181">
              <w:t>1</w:t>
            </w:r>
          </w:p>
        </w:tc>
        <w:tc>
          <w:tcPr>
            <w:tcW w:w="501" w:type="pct"/>
            <w:tcBorders>
              <w:top w:val="nil"/>
              <w:bottom w:val="nil"/>
            </w:tcBorders>
            <w:shd w:val="clear" w:color="auto" w:fill="auto"/>
            <w:noWrap/>
            <w:hideMark/>
          </w:tcPr>
          <w:p w14:paraId="2DF1EFC0" w14:textId="77777777" w:rsidR="00C922F7" w:rsidRPr="00097181" w:rsidRDefault="00C922F7" w:rsidP="00713C93">
            <w:r w:rsidRPr="00097181">
              <w:t>0.010</w:t>
            </w:r>
          </w:p>
        </w:tc>
        <w:tc>
          <w:tcPr>
            <w:tcW w:w="621" w:type="pct"/>
            <w:tcBorders>
              <w:top w:val="nil"/>
              <w:bottom w:val="nil"/>
            </w:tcBorders>
            <w:shd w:val="clear" w:color="auto" w:fill="auto"/>
            <w:noWrap/>
            <w:hideMark/>
          </w:tcPr>
          <w:p w14:paraId="35876DCB" w14:textId="77777777" w:rsidR="00C922F7" w:rsidRPr="00097181" w:rsidRDefault="00C922F7" w:rsidP="00713C93">
            <w:r w:rsidRPr="00097181">
              <w:t>1</w:t>
            </w:r>
          </w:p>
        </w:tc>
        <w:tc>
          <w:tcPr>
            <w:tcW w:w="435" w:type="pct"/>
            <w:tcBorders>
              <w:top w:val="nil"/>
              <w:bottom w:val="nil"/>
            </w:tcBorders>
            <w:shd w:val="clear" w:color="auto" w:fill="auto"/>
            <w:noWrap/>
            <w:hideMark/>
          </w:tcPr>
          <w:p w14:paraId="278BE4CE" w14:textId="77777777" w:rsidR="00C922F7" w:rsidRPr="00097181" w:rsidRDefault="00C922F7" w:rsidP="00713C93">
            <w:r w:rsidRPr="00097181">
              <w:t>1.0</w:t>
            </w:r>
          </w:p>
        </w:tc>
        <w:tc>
          <w:tcPr>
            <w:tcW w:w="621" w:type="pct"/>
            <w:tcBorders>
              <w:top w:val="nil"/>
              <w:bottom w:val="nil"/>
            </w:tcBorders>
            <w:shd w:val="clear" w:color="auto" w:fill="auto"/>
            <w:noWrap/>
            <w:hideMark/>
          </w:tcPr>
          <w:p w14:paraId="3CD5876E" w14:textId="77777777" w:rsidR="00C922F7" w:rsidRPr="00097181" w:rsidRDefault="00C922F7" w:rsidP="00713C93">
            <w:r w:rsidRPr="00097181">
              <w:t>0</w:t>
            </w:r>
          </w:p>
        </w:tc>
        <w:tc>
          <w:tcPr>
            <w:tcW w:w="656" w:type="pct"/>
            <w:tcBorders>
              <w:top w:val="nil"/>
              <w:bottom w:val="nil"/>
            </w:tcBorders>
            <w:shd w:val="clear" w:color="auto" w:fill="auto"/>
            <w:noWrap/>
            <w:hideMark/>
          </w:tcPr>
          <w:p w14:paraId="66B96392" w14:textId="77777777" w:rsidR="00C922F7" w:rsidRPr="00097181" w:rsidRDefault="00C922F7" w:rsidP="00713C93">
            <w:r w:rsidRPr="00097181">
              <w:t>0</w:t>
            </w:r>
          </w:p>
        </w:tc>
      </w:tr>
    </w:tbl>
    <w:p w14:paraId="03F934CA" w14:textId="77777777" w:rsidR="00C922F7" w:rsidRPr="00097181" w:rsidRDefault="00C922F7" w:rsidP="00713C93"/>
    <w:p w14:paraId="0A6ADF43" w14:textId="77777777" w:rsidR="00C922F7" w:rsidRPr="00097181" w:rsidRDefault="00C922F7" w:rsidP="00713C93">
      <w:pPr>
        <w:rPr>
          <w:sz w:val="24"/>
        </w:rPr>
      </w:pPr>
      <w:r w:rsidRPr="00097181">
        <w:rPr>
          <w:i/>
        </w:rPr>
        <w:t>TP</w:t>
      </w:r>
      <w:r w:rsidRPr="00097181">
        <w:t xml:space="preserve">: number of publications: </w:t>
      </w:r>
      <w:proofErr w:type="spellStart"/>
      <w:r w:rsidRPr="00097181">
        <w:t>Randomised</w:t>
      </w:r>
      <w:proofErr w:type="spellEnd"/>
      <w:r w:rsidRPr="00097181">
        <w:t xml:space="preserve"> publications; </w:t>
      </w:r>
      <w:r w:rsidRPr="00097181">
        <w:rPr>
          <w:i/>
        </w:rPr>
        <w:t>AU</w:t>
      </w:r>
      <w:r w:rsidRPr="00097181">
        <w:t xml:space="preserve">: number of authors; </w:t>
      </w:r>
      <w:r w:rsidRPr="00097181">
        <w:rPr>
          <w:i/>
        </w:rPr>
        <w:t>APP</w:t>
      </w:r>
      <w:r w:rsidRPr="00097181">
        <w:t xml:space="preserve">: number of authors per publication; </w:t>
      </w:r>
      <w:r w:rsidRPr="00097181">
        <w:rPr>
          <w:i/>
        </w:rPr>
        <w:t>TC</w:t>
      </w:r>
      <w:r w:rsidRPr="00097181">
        <w:rPr>
          <w:vertAlign w:val="subscript"/>
        </w:rPr>
        <w:t>2017</w:t>
      </w:r>
      <w:r w:rsidRPr="00097181">
        <w:t xml:space="preserve">: the total number of citations from Web of Science Core Collection since publication to the end of 2017; </w:t>
      </w:r>
      <w:r w:rsidRPr="00097181">
        <w:rPr>
          <w:i/>
        </w:rPr>
        <w:t>CPP</w:t>
      </w:r>
      <w:r w:rsidRPr="00097181">
        <w:rPr>
          <w:vertAlign w:val="subscript"/>
        </w:rPr>
        <w:t>2017</w:t>
      </w:r>
      <w:r w:rsidRPr="00097181">
        <w:t>: number of citations (</w:t>
      </w:r>
      <w:r w:rsidRPr="00097181">
        <w:rPr>
          <w:i/>
        </w:rPr>
        <w:t>TC</w:t>
      </w:r>
      <w:r w:rsidRPr="00097181">
        <w:rPr>
          <w:vertAlign w:val="subscript"/>
        </w:rPr>
        <w:t>2017</w:t>
      </w:r>
      <w:r w:rsidRPr="00097181">
        <w:t>) per publication (</w:t>
      </w:r>
      <w:r w:rsidRPr="00097181">
        <w:rPr>
          <w:i/>
        </w:rPr>
        <w:t>TP</w:t>
      </w:r>
      <w:r w:rsidRPr="00097181">
        <w:t>).</w:t>
      </w:r>
    </w:p>
    <w:p w14:paraId="4103B175" w14:textId="77777777" w:rsidR="00C922F7" w:rsidRPr="00097181" w:rsidRDefault="00C922F7" w:rsidP="00713C93"/>
    <w:p w14:paraId="45BB9E1C" w14:textId="77777777" w:rsidR="00C922F7" w:rsidRPr="00097181" w:rsidRDefault="00C922F7" w:rsidP="00713C93"/>
    <w:p w14:paraId="49AD7263" w14:textId="1FE35460" w:rsidR="00C922F7" w:rsidRDefault="00C922F7" w:rsidP="00713C93"/>
    <w:p w14:paraId="6F28A7D6" w14:textId="05BBA918" w:rsidR="006878A4" w:rsidRDefault="006878A4" w:rsidP="00713C93"/>
    <w:p w14:paraId="0B52A403" w14:textId="7C6AB398" w:rsidR="006878A4" w:rsidRDefault="006878A4" w:rsidP="00713C93"/>
    <w:p w14:paraId="2478CA60" w14:textId="48F89DF7" w:rsidR="006878A4" w:rsidRDefault="006878A4" w:rsidP="00713C93"/>
    <w:p w14:paraId="04D0E573" w14:textId="5CFF22A6" w:rsidR="006878A4" w:rsidRDefault="006878A4" w:rsidP="00713C93"/>
    <w:p w14:paraId="42E12B26" w14:textId="53411969" w:rsidR="006878A4" w:rsidRDefault="006878A4" w:rsidP="00713C93"/>
    <w:p w14:paraId="0378AB5D" w14:textId="4752B692" w:rsidR="006878A4" w:rsidRDefault="006878A4" w:rsidP="00713C93"/>
    <w:p w14:paraId="4B32EA30" w14:textId="7B4F0388" w:rsidR="006878A4" w:rsidRDefault="006878A4" w:rsidP="00713C93"/>
    <w:p w14:paraId="21477F48" w14:textId="4EEA9ED5" w:rsidR="006878A4" w:rsidRDefault="006878A4" w:rsidP="00713C93"/>
    <w:p w14:paraId="19DC3BA1" w14:textId="30E858B2" w:rsidR="006878A4" w:rsidRDefault="006878A4" w:rsidP="00713C93"/>
    <w:p w14:paraId="5C9F69E5" w14:textId="6AAE7019" w:rsidR="006878A4" w:rsidRDefault="006878A4" w:rsidP="00713C93"/>
    <w:p w14:paraId="410F5D3A" w14:textId="0578545D" w:rsidR="006878A4" w:rsidRDefault="006878A4" w:rsidP="00713C93"/>
    <w:p w14:paraId="7449228A" w14:textId="34BEEF29" w:rsidR="006878A4" w:rsidRDefault="006878A4" w:rsidP="00713C93"/>
    <w:p w14:paraId="1BE9C872" w14:textId="72BB7B01" w:rsidR="006878A4" w:rsidRDefault="006878A4" w:rsidP="00713C93"/>
    <w:p w14:paraId="1D6ABB0B" w14:textId="22965B35" w:rsidR="006878A4" w:rsidRDefault="006878A4" w:rsidP="00713C93"/>
    <w:p w14:paraId="7D35BB4B" w14:textId="115F318C" w:rsidR="006878A4" w:rsidRDefault="006878A4" w:rsidP="00713C93"/>
    <w:p w14:paraId="0BFC80BC" w14:textId="77777777" w:rsidR="006878A4" w:rsidRPr="00097181" w:rsidRDefault="006878A4" w:rsidP="00713C93"/>
    <w:p w14:paraId="1E0A0E1E" w14:textId="77777777" w:rsidR="00C922F7" w:rsidRPr="00097181" w:rsidRDefault="00C922F7" w:rsidP="00713C93">
      <w:pPr>
        <w:jc w:val="center"/>
      </w:pPr>
      <w:r w:rsidRPr="00097181">
        <w:t>TABLE 2</w:t>
      </w:r>
    </w:p>
    <w:p w14:paraId="02CC59B0" w14:textId="77777777" w:rsidR="00C922F7" w:rsidRPr="00097181" w:rsidRDefault="00C922F7" w:rsidP="00713C93">
      <w:pPr>
        <w:jc w:val="center"/>
      </w:pPr>
      <w:r w:rsidRPr="00097181">
        <w:t>Top ten most productive journals</w:t>
      </w:r>
    </w:p>
    <w:p w14:paraId="74995EAB" w14:textId="77777777" w:rsidR="00C922F7" w:rsidRPr="00097181" w:rsidRDefault="00C922F7" w:rsidP="00713C93"/>
    <w:tbl>
      <w:tblPr>
        <w:tblW w:w="0" w:type="auto"/>
        <w:jc w:val="center"/>
        <w:tblBorders>
          <w:top w:val="single" w:sz="4" w:space="0" w:color="auto"/>
          <w:bottom w:val="single" w:sz="4" w:space="0" w:color="auto"/>
        </w:tblBorders>
        <w:tblLook w:val="04A0" w:firstRow="1" w:lastRow="0" w:firstColumn="1" w:lastColumn="0" w:noHBand="0" w:noVBand="1"/>
      </w:tblPr>
      <w:tblGrid>
        <w:gridCol w:w="4793"/>
        <w:gridCol w:w="915"/>
        <w:gridCol w:w="825"/>
        <w:gridCol w:w="3106"/>
      </w:tblGrid>
      <w:tr w:rsidR="00C922F7" w:rsidRPr="00097181" w14:paraId="0DFDFBC1" w14:textId="77777777" w:rsidTr="001E0B61">
        <w:trPr>
          <w:trHeight w:val="315"/>
          <w:jc w:val="center"/>
        </w:trPr>
        <w:tc>
          <w:tcPr>
            <w:tcW w:w="0" w:type="auto"/>
            <w:tcBorders>
              <w:top w:val="nil"/>
              <w:bottom w:val="nil"/>
            </w:tcBorders>
            <w:shd w:val="clear" w:color="auto" w:fill="BFBFBF" w:themeFill="background1" w:themeFillShade="BF"/>
            <w:noWrap/>
            <w:hideMark/>
          </w:tcPr>
          <w:p w14:paraId="3AD1CCFF" w14:textId="77777777" w:rsidR="00C922F7" w:rsidRPr="00097181" w:rsidRDefault="00C922F7" w:rsidP="00713C93">
            <w:r w:rsidRPr="00097181">
              <w:t>Journal</w:t>
            </w:r>
          </w:p>
        </w:tc>
        <w:tc>
          <w:tcPr>
            <w:tcW w:w="1124" w:type="dxa"/>
            <w:tcBorders>
              <w:top w:val="nil"/>
              <w:bottom w:val="nil"/>
            </w:tcBorders>
            <w:shd w:val="clear" w:color="auto" w:fill="BFBFBF" w:themeFill="background1" w:themeFillShade="BF"/>
            <w:noWrap/>
            <w:hideMark/>
          </w:tcPr>
          <w:p w14:paraId="1DB21B65" w14:textId="77777777" w:rsidR="00C922F7" w:rsidRPr="00097181" w:rsidRDefault="00C922F7" w:rsidP="00713C93">
            <w:r w:rsidRPr="00097181">
              <w:rPr>
                <w:i/>
              </w:rPr>
              <w:t>TP</w:t>
            </w:r>
            <w:r w:rsidRPr="00097181">
              <w:t xml:space="preserve"> (%)</w:t>
            </w:r>
          </w:p>
        </w:tc>
        <w:tc>
          <w:tcPr>
            <w:tcW w:w="1006" w:type="dxa"/>
            <w:tcBorders>
              <w:top w:val="nil"/>
              <w:bottom w:val="nil"/>
            </w:tcBorders>
            <w:shd w:val="clear" w:color="auto" w:fill="BFBFBF" w:themeFill="background1" w:themeFillShade="BF"/>
            <w:noWrap/>
            <w:hideMark/>
          </w:tcPr>
          <w:p w14:paraId="54D1B37A" w14:textId="77777777" w:rsidR="00C922F7" w:rsidRPr="00097181" w:rsidRDefault="00C922F7" w:rsidP="00713C93">
            <w:r w:rsidRPr="00097181">
              <w:rPr>
                <w:i/>
              </w:rPr>
              <w:t>IF</w:t>
            </w:r>
            <w:r w:rsidRPr="00097181">
              <w:rPr>
                <w:vertAlign w:val="subscript"/>
              </w:rPr>
              <w:t>2017</w:t>
            </w:r>
          </w:p>
        </w:tc>
        <w:tc>
          <w:tcPr>
            <w:tcW w:w="3968" w:type="dxa"/>
            <w:tcBorders>
              <w:top w:val="nil"/>
              <w:bottom w:val="nil"/>
            </w:tcBorders>
            <w:shd w:val="clear" w:color="auto" w:fill="BFBFBF" w:themeFill="background1" w:themeFillShade="BF"/>
            <w:noWrap/>
            <w:hideMark/>
          </w:tcPr>
          <w:p w14:paraId="0BDF3B98" w14:textId="77777777" w:rsidR="00C922F7" w:rsidRPr="00097181" w:rsidRDefault="00C922F7" w:rsidP="00713C93">
            <w:r w:rsidRPr="00097181">
              <w:t>Web of Science category</w:t>
            </w:r>
          </w:p>
        </w:tc>
      </w:tr>
      <w:tr w:rsidR="00C922F7" w:rsidRPr="00097181" w14:paraId="7A4FE31D" w14:textId="77777777" w:rsidTr="001E0B61">
        <w:trPr>
          <w:trHeight w:val="315"/>
          <w:jc w:val="center"/>
        </w:trPr>
        <w:tc>
          <w:tcPr>
            <w:tcW w:w="0" w:type="auto"/>
            <w:tcBorders>
              <w:top w:val="nil"/>
            </w:tcBorders>
            <w:shd w:val="clear" w:color="auto" w:fill="auto"/>
            <w:noWrap/>
            <w:hideMark/>
          </w:tcPr>
          <w:p w14:paraId="63AFE42B" w14:textId="77777777" w:rsidR="00C922F7" w:rsidRPr="00097181" w:rsidRDefault="00C922F7" w:rsidP="00713C93">
            <w:r w:rsidRPr="00097181">
              <w:t>Physical Review Letters</w:t>
            </w:r>
          </w:p>
        </w:tc>
        <w:tc>
          <w:tcPr>
            <w:tcW w:w="1124" w:type="dxa"/>
            <w:tcBorders>
              <w:top w:val="nil"/>
            </w:tcBorders>
            <w:shd w:val="clear" w:color="auto" w:fill="auto"/>
            <w:noWrap/>
            <w:hideMark/>
          </w:tcPr>
          <w:p w14:paraId="6DD12347" w14:textId="77777777" w:rsidR="00C922F7" w:rsidRPr="00097181" w:rsidRDefault="00C922F7" w:rsidP="00713C93">
            <w:r w:rsidRPr="00097181">
              <w:t>194 (2.5)</w:t>
            </w:r>
          </w:p>
        </w:tc>
        <w:tc>
          <w:tcPr>
            <w:tcW w:w="1006" w:type="dxa"/>
            <w:tcBorders>
              <w:top w:val="nil"/>
            </w:tcBorders>
            <w:shd w:val="clear" w:color="auto" w:fill="auto"/>
            <w:noWrap/>
            <w:hideMark/>
          </w:tcPr>
          <w:p w14:paraId="0B435CF2" w14:textId="77777777" w:rsidR="00C922F7" w:rsidRPr="00097181" w:rsidRDefault="00C922F7" w:rsidP="00713C93">
            <w:r w:rsidRPr="00097181">
              <w:t>8.839</w:t>
            </w:r>
          </w:p>
        </w:tc>
        <w:tc>
          <w:tcPr>
            <w:tcW w:w="3968" w:type="dxa"/>
            <w:tcBorders>
              <w:top w:val="nil"/>
            </w:tcBorders>
            <w:shd w:val="clear" w:color="auto" w:fill="auto"/>
            <w:noWrap/>
            <w:hideMark/>
          </w:tcPr>
          <w:p w14:paraId="32517706" w14:textId="77777777" w:rsidR="00C922F7" w:rsidRPr="00097181" w:rsidRDefault="00C922F7" w:rsidP="00713C93">
            <w:r w:rsidRPr="00097181">
              <w:t>multidisciplinary physics</w:t>
            </w:r>
          </w:p>
        </w:tc>
      </w:tr>
      <w:tr w:rsidR="00C922F7" w:rsidRPr="00097181" w14:paraId="26F501D5" w14:textId="77777777" w:rsidTr="001E0B61">
        <w:trPr>
          <w:trHeight w:val="525"/>
          <w:jc w:val="center"/>
        </w:trPr>
        <w:tc>
          <w:tcPr>
            <w:tcW w:w="0" w:type="auto"/>
            <w:shd w:val="clear" w:color="auto" w:fill="auto"/>
            <w:noWrap/>
            <w:hideMark/>
          </w:tcPr>
          <w:p w14:paraId="65C8C9BE" w14:textId="77777777" w:rsidR="00C922F7" w:rsidRPr="00097181" w:rsidRDefault="00C922F7" w:rsidP="00713C93">
            <w:r w:rsidRPr="00097181">
              <w:t>Physical Review D</w:t>
            </w:r>
          </w:p>
        </w:tc>
        <w:tc>
          <w:tcPr>
            <w:tcW w:w="1124" w:type="dxa"/>
            <w:shd w:val="clear" w:color="auto" w:fill="auto"/>
            <w:noWrap/>
            <w:hideMark/>
          </w:tcPr>
          <w:p w14:paraId="62F061C0" w14:textId="77777777" w:rsidR="00C922F7" w:rsidRPr="00097181" w:rsidRDefault="00C922F7" w:rsidP="00713C93">
            <w:r w:rsidRPr="00097181">
              <w:t>161 (2.1)</w:t>
            </w:r>
          </w:p>
        </w:tc>
        <w:tc>
          <w:tcPr>
            <w:tcW w:w="1006" w:type="dxa"/>
            <w:shd w:val="clear" w:color="auto" w:fill="auto"/>
            <w:noWrap/>
            <w:hideMark/>
          </w:tcPr>
          <w:p w14:paraId="3AE2F9E3" w14:textId="77777777" w:rsidR="00C922F7" w:rsidRPr="00097181" w:rsidRDefault="00C922F7" w:rsidP="00713C93">
            <w:r w:rsidRPr="00097181">
              <w:t>4.394</w:t>
            </w:r>
          </w:p>
        </w:tc>
        <w:tc>
          <w:tcPr>
            <w:tcW w:w="3968" w:type="dxa"/>
            <w:shd w:val="clear" w:color="auto" w:fill="auto"/>
            <w:noWrap/>
            <w:hideMark/>
          </w:tcPr>
          <w:p w14:paraId="30994BF6" w14:textId="77777777" w:rsidR="00C922F7" w:rsidRPr="00097181" w:rsidRDefault="00C922F7" w:rsidP="00713C93">
            <w:r w:rsidRPr="00097181">
              <w:t>astronomy and astrophysics</w:t>
            </w:r>
          </w:p>
          <w:p w14:paraId="0403F5B0" w14:textId="77777777" w:rsidR="00C922F7" w:rsidRPr="00097181" w:rsidRDefault="00C922F7" w:rsidP="00713C93">
            <w:r w:rsidRPr="00097181">
              <w:t>particles and fields physics</w:t>
            </w:r>
          </w:p>
        </w:tc>
      </w:tr>
      <w:tr w:rsidR="00C922F7" w:rsidRPr="00097181" w14:paraId="1038E258" w14:textId="77777777" w:rsidTr="001E0B61">
        <w:trPr>
          <w:trHeight w:val="315"/>
          <w:jc w:val="center"/>
        </w:trPr>
        <w:tc>
          <w:tcPr>
            <w:tcW w:w="0" w:type="auto"/>
            <w:shd w:val="clear" w:color="auto" w:fill="auto"/>
            <w:noWrap/>
            <w:hideMark/>
          </w:tcPr>
          <w:p w14:paraId="20541841" w14:textId="77777777" w:rsidR="00C922F7" w:rsidRPr="00097181" w:rsidRDefault="00C922F7" w:rsidP="00713C93">
            <w:proofErr w:type="spellStart"/>
            <w:r w:rsidRPr="00097181">
              <w:t>PLoS</w:t>
            </w:r>
            <w:proofErr w:type="spellEnd"/>
            <w:r w:rsidRPr="00097181">
              <w:t xml:space="preserve"> One</w:t>
            </w:r>
          </w:p>
        </w:tc>
        <w:tc>
          <w:tcPr>
            <w:tcW w:w="1124" w:type="dxa"/>
            <w:shd w:val="clear" w:color="auto" w:fill="auto"/>
            <w:noWrap/>
            <w:hideMark/>
          </w:tcPr>
          <w:p w14:paraId="55334137" w14:textId="77777777" w:rsidR="00C922F7" w:rsidRPr="00097181" w:rsidRDefault="00C922F7" w:rsidP="00713C93">
            <w:r w:rsidRPr="00097181">
              <w:t>148 (1.9)</w:t>
            </w:r>
          </w:p>
        </w:tc>
        <w:tc>
          <w:tcPr>
            <w:tcW w:w="1006" w:type="dxa"/>
            <w:shd w:val="clear" w:color="auto" w:fill="auto"/>
            <w:noWrap/>
            <w:hideMark/>
          </w:tcPr>
          <w:p w14:paraId="2A59BF63" w14:textId="77777777" w:rsidR="00C922F7" w:rsidRPr="00097181" w:rsidRDefault="00C922F7" w:rsidP="00713C93">
            <w:r w:rsidRPr="00097181">
              <w:t>2.766</w:t>
            </w:r>
          </w:p>
        </w:tc>
        <w:tc>
          <w:tcPr>
            <w:tcW w:w="3968" w:type="dxa"/>
            <w:shd w:val="clear" w:color="auto" w:fill="auto"/>
            <w:noWrap/>
            <w:hideMark/>
          </w:tcPr>
          <w:p w14:paraId="500FFBBA" w14:textId="77777777" w:rsidR="00C922F7" w:rsidRPr="00097181" w:rsidRDefault="00C922F7" w:rsidP="00713C93">
            <w:r w:rsidRPr="00097181">
              <w:t>multidisciplinary sciences</w:t>
            </w:r>
          </w:p>
        </w:tc>
      </w:tr>
      <w:tr w:rsidR="00C922F7" w:rsidRPr="00097181" w14:paraId="03DDEE40" w14:textId="77777777" w:rsidTr="001E0B61">
        <w:trPr>
          <w:trHeight w:val="820"/>
          <w:jc w:val="center"/>
        </w:trPr>
        <w:tc>
          <w:tcPr>
            <w:tcW w:w="0" w:type="auto"/>
            <w:shd w:val="clear" w:color="auto" w:fill="auto"/>
            <w:noWrap/>
            <w:hideMark/>
          </w:tcPr>
          <w:p w14:paraId="7150004A" w14:textId="77777777" w:rsidR="00C922F7" w:rsidRPr="00097181" w:rsidRDefault="00C922F7" w:rsidP="00713C93">
            <w:r w:rsidRPr="00097181">
              <w:t>Physics Letters B</w:t>
            </w:r>
          </w:p>
        </w:tc>
        <w:tc>
          <w:tcPr>
            <w:tcW w:w="1124" w:type="dxa"/>
            <w:shd w:val="clear" w:color="auto" w:fill="auto"/>
            <w:noWrap/>
            <w:hideMark/>
          </w:tcPr>
          <w:p w14:paraId="25280B2C" w14:textId="77777777" w:rsidR="00C922F7" w:rsidRPr="00097181" w:rsidRDefault="00C922F7" w:rsidP="00713C93">
            <w:r w:rsidRPr="00097181">
              <w:t>126 (1.6)</w:t>
            </w:r>
          </w:p>
        </w:tc>
        <w:tc>
          <w:tcPr>
            <w:tcW w:w="1006" w:type="dxa"/>
            <w:shd w:val="clear" w:color="auto" w:fill="auto"/>
            <w:noWrap/>
            <w:hideMark/>
          </w:tcPr>
          <w:p w14:paraId="0C416D3B" w14:textId="77777777" w:rsidR="00C922F7" w:rsidRPr="00097181" w:rsidRDefault="00C922F7" w:rsidP="00713C93">
            <w:r w:rsidRPr="00097181">
              <w:t>4.254</w:t>
            </w:r>
          </w:p>
        </w:tc>
        <w:tc>
          <w:tcPr>
            <w:tcW w:w="3968" w:type="dxa"/>
            <w:shd w:val="clear" w:color="auto" w:fill="auto"/>
            <w:noWrap/>
            <w:hideMark/>
          </w:tcPr>
          <w:p w14:paraId="45082688" w14:textId="77777777" w:rsidR="00C922F7" w:rsidRPr="00097181" w:rsidRDefault="00C922F7" w:rsidP="00713C93">
            <w:r w:rsidRPr="00097181">
              <w:t>astronomy and astrophysics</w:t>
            </w:r>
          </w:p>
          <w:p w14:paraId="64BB0ECA" w14:textId="77777777" w:rsidR="00C922F7" w:rsidRPr="00097181" w:rsidRDefault="00C922F7" w:rsidP="00713C93">
            <w:r w:rsidRPr="00097181">
              <w:t>nuclear physics</w:t>
            </w:r>
          </w:p>
          <w:p w14:paraId="77333DFC" w14:textId="77777777" w:rsidR="00C922F7" w:rsidRPr="00097181" w:rsidRDefault="00C922F7" w:rsidP="00713C93">
            <w:r w:rsidRPr="00097181">
              <w:t>particles and fields physics</w:t>
            </w:r>
          </w:p>
        </w:tc>
      </w:tr>
      <w:tr w:rsidR="00C922F7" w:rsidRPr="00097181" w14:paraId="21580809" w14:textId="77777777" w:rsidTr="001E0B61">
        <w:trPr>
          <w:trHeight w:val="315"/>
          <w:jc w:val="center"/>
        </w:trPr>
        <w:tc>
          <w:tcPr>
            <w:tcW w:w="0" w:type="auto"/>
            <w:shd w:val="clear" w:color="auto" w:fill="auto"/>
            <w:noWrap/>
            <w:hideMark/>
          </w:tcPr>
          <w:p w14:paraId="7409D0E8" w14:textId="73FD3D18" w:rsidR="00C922F7" w:rsidRPr="00097181" w:rsidRDefault="00C922F7" w:rsidP="00713C93">
            <w:proofErr w:type="spellStart"/>
            <w:r w:rsidRPr="00097181">
              <w:t>Revista</w:t>
            </w:r>
            <w:proofErr w:type="spellEnd"/>
            <w:r w:rsidRPr="00097181">
              <w:t xml:space="preserve"> </w:t>
            </w:r>
            <w:proofErr w:type="spellStart"/>
            <w:r w:rsidRPr="00097181">
              <w:t>Ecuatoriana</w:t>
            </w:r>
            <w:proofErr w:type="spellEnd"/>
            <w:r w:rsidRPr="00097181">
              <w:t xml:space="preserve"> De </w:t>
            </w:r>
            <w:proofErr w:type="spellStart"/>
            <w:r w:rsidRPr="00097181">
              <w:t>Neurolog</w:t>
            </w:r>
            <w:r w:rsidR="00713C93">
              <w:t>í</w:t>
            </w:r>
            <w:r w:rsidRPr="00097181">
              <w:t>a</w:t>
            </w:r>
            <w:proofErr w:type="spellEnd"/>
          </w:p>
        </w:tc>
        <w:tc>
          <w:tcPr>
            <w:tcW w:w="1124" w:type="dxa"/>
            <w:shd w:val="clear" w:color="auto" w:fill="auto"/>
            <w:noWrap/>
            <w:hideMark/>
          </w:tcPr>
          <w:p w14:paraId="37A0554F" w14:textId="77777777" w:rsidR="00C922F7" w:rsidRPr="00097181" w:rsidRDefault="00C922F7" w:rsidP="00713C93">
            <w:r w:rsidRPr="00097181">
              <w:t>99 (1.3)</w:t>
            </w:r>
          </w:p>
        </w:tc>
        <w:tc>
          <w:tcPr>
            <w:tcW w:w="1006" w:type="dxa"/>
            <w:shd w:val="clear" w:color="auto" w:fill="auto"/>
            <w:noWrap/>
            <w:hideMark/>
          </w:tcPr>
          <w:p w14:paraId="1CF58973" w14:textId="77777777" w:rsidR="00C922F7" w:rsidRPr="00097181" w:rsidRDefault="00C922F7" w:rsidP="00713C93">
            <w:r w:rsidRPr="00097181">
              <w:t>N/A</w:t>
            </w:r>
          </w:p>
        </w:tc>
        <w:tc>
          <w:tcPr>
            <w:tcW w:w="3968" w:type="dxa"/>
            <w:shd w:val="clear" w:color="auto" w:fill="auto"/>
            <w:noWrap/>
            <w:hideMark/>
          </w:tcPr>
          <w:p w14:paraId="12A6BAC6" w14:textId="77777777" w:rsidR="00C922F7" w:rsidRPr="00097181" w:rsidRDefault="00C922F7" w:rsidP="00713C93">
            <w:r w:rsidRPr="00097181">
              <w:t>neurosciences</w:t>
            </w:r>
          </w:p>
        </w:tc>
      </w:tr>
      <w:tr w:rsidR="00C922F7" w:rsidRPr="00097181" w14:paraId="3661C01B" w14:textId="77777777" w:rsidTr="001E0B61">
        <w:trPr>
          <w:trHeight w:val="315"/>
          <w:jc w:val="center"/>
        </w:trPr>
        <w:tc>
          <w:tcPr>
            <w:tcW w:w="0" w:type="auto"/>
            <w:shd w:val="clear" w:color="auto" w:fill="auto"/>
            <w:noWrap/>
            <w:hideMark/>
          </w:tcPr>
          <w:p w14:paraId="49390D65" w14:textId="77777777" w:rsidR="00C922F7" w:rsidRPr="00097181" w:rsidRDefault="00C922F7" w:rsidP="00713C93">
            <w:proofErr w:type="spellStart"/>
            <w:r w:rsidRPr="00097181">
              <w:t>Zootaxa</w:t>
            </w:r>
            <w:proofErr w:type="spellEnd"/>
          </w:p>
        </w:tc>
        <w:tc>
          <w:tcPr>
            <w:tcW w:w="1124" w:type="dxa"/>
            <w:shd w:val="clear" w:color="auto" w:fill="auto"/>
            <w:noWrap/>
            <w:hideMark/>
          </w:tcPr>
          <w:p w14:paraId="2CC3CA83" w14:textId="77777777" w:rsidR="00C922F7" w:rsidRPr="00097181" w:rsidRDefault="00C922F7" w:rsidP="00713C93">
            <w:r w:rsidRPr="00097181">
              <w:t>95 (1.2)</w:t>
            </w:r>
          </w:p>
        </w:tc>
        <w:tc>
          <w:tcPr>
            <w:tcW w:w="1006" w:type="dxa"/>
            <w:shd w:val="clear" w:color="auto" w:fill="auto"/>
            <w:noWrap/>
            <w:hideMark/>
          </w:tcPr>
          <w:p w14:paraId="6E3CCFDD" w14:textId="77777777" w:rsidR="00C922F7" w:rsidRPr="00097181" w:rsidRDefault="00C922F7" w:rsidP="00713C93">
            <w:r w:rsidRPr="00097181">
              <w:t>0.931</w:t>
            </w:r>
          </w:p>
        </w:tc>
        <w:tc>
          <w:tcPr>
            <w:tcW w:w="3968" w:type="dxa"/>
            <w:shd w:val="clear" w:color="auto" w:fill="auto"/>
            <w:noWrap/>
            <w:hideMark/>
          </w:tcPr>
          <w:p w14:paraId="2DFF4E0B" w14:textId="77777777" w:rsidR="00C922F7" w:rsidRPr="00097181" w:rsidRDefault="00C922F7" w:rsidP="00713C93">
            <w:r w:rsidRPr="00097181">
              <w:t>zoology</w:t>
            </w:r>
          </w:p>
        </w:tc>
      </w:tr>
      <w:tr w:rsidR="00C922F7" w:rsidRPr="00097181" w14:paraId="2BCB1D5A" w14:textId="77777777" w:rsidTr="001E0B61">
        <w:trPr>
          <w:trHeight w:val="799"/>
          <w:jc w:val="center"/>
        </w:trPr>
        <w:tc>
          <w:tcPr>
            <w:tcW w:w="0" w:type="auto"/>
            <w:shd w:val="clear" w:color="auto" w:fill="auto"/>
            <w:noWrap/>
            <w:hideMark/>
          </w:tcPr>
          <w:p w14:paraId="5F13A9EB" w14:textId="77777777" w:rsidR="00C922F7" w:rsidRPr="00097181" w:rsidRDefault="00C922F7" w:rsidP="00713C93">
            <w:r w:rsidRPr="00097181">
              <w:t>American Journal of Tropical Medicine and Hygiene</w:t>
            </w:r>
          </w:p>
        </w:tc>
        <w:tc>
          <w:tcPr>
            <w:tcW w:w="1124" w:type="dxa"/>
            <w:shd w:val="clear" w:color="auto" w:fill="auto"/>
            <w:noWrap/>
            <w:hideMark/>
          </w:tcPr>
          <w:p w14:paraId="106A7B9C" w14:textId="77777777" w:rsidR="00C922F7" w:rsidRPr="00097181" w:rsidRDefault="00C922F7" w:rsidP="00713C93">
            <w:r w:rsidRPr="00097181">
              <w:t>87 (1.1)</w:t>
            </w:r>
          </w:p>
        </w:tc>
        <w:tc>
          <w:tcPr>
            <w:tcW w:w="1006" w:type="dxa"/>
            <w:shd w:val="clear" w:color="auto" w:fill="auto"/>
            <w:noWrap/>
            <w:hideMark/>
          </w:tcPr>
          <w:p w14:paraId="6014BDFA" w14:textId="77777777" w:rsidR="00C922F7" w:rsidRPr="00097181" w:rsidRDefault="00C922F7" w:rsidP="00713C93">
            <w:r w:rsidRPr="00097181">
              <w:t>2.564</w:t>
            </w:r>
          </w:p>
        </w:tc>
        <w:tc>
          <w:tcPr>
            <w:tcW w:w="3968" w:type="dxa"/>
            <w:shd w:val="clear" w:color="auto" w:fill="auto"/>
            <w:noWrap/>
            <w:hideMark/>
          </w:tcPr>
          <w:p w14:paraId="16C90367" w14:textId="77777777" w:rsidR="00C922F7" w:rsidRPr="00097181" w:rsidRDefault="00C922F7" w:rsidP="00713C93">
            <w:r w:rsidRPr="00097181">
              <w:t>public, environmental and occupational health</w:t>
            </w:r>
          </w:p>
          <w:p w14:paraId="38944941" w14:textId="77777777" w:rsidR="00C922F7" w:rsidRPr="00097181" w:rsidRDefault="00C922F7" w:rsidP="00713C93">
            <w:r w:rsidRPr="00097181">
              <w:t>tropical medicine</w:t>
            </w:r>
          </w:p>
        </w:tc>
      </w:tr>
      <w:tr w:rsidR="00C922F7" w:rsidRPr="00097181" w14:paraId="40ED9F46" w14:textId="77777777" w:rsidTr="001E0B61">
        <w:trPr>
          <w:trHeight w:val="315"/>
          <w:jc w:val="center"/>
        </w:trPr>
        <w:tc>
          <w:tcPr>
            <w:tcW w:w="0" w:type="auto"/>
            <w:tcBorders>
              <w:bottom w:val="nil"/>
            </w:tcBorders>
            <w:shd w:val="clear" w:color="auto" w:fill="auto"/>
            <w:noWrap/>
            <w:hideMark/>
          </w:tcPr>
          <w:p w14:paraId="2A31DE43" w14:textId="77777777" w:rsidR="00C922F7" w:rsidRPr="00097181" w:rsidRDefault="00C922F7" w:rsidP="00713C93">
            <w:proofErr w:type="spellStart"/>
            <w:r w:rsidRPr="00097181">
              <w:t>Ornitologia</w:t>
            </w:r>
            <w:proofErr w:type="spellEnd"/>
            <w:r w:rsidRPr="00097181">
              <w:t xml:space="preserve"> Neotropical</w:t>
            </w:r>
          </w:p>
        </w:tc>
        <w:tc>
          <w:tcPr>
            <w:tcW w:w="1124" w:type="dxa"/>
            <w:tcBorders>
              <w:bottom w:val="nil"/>
            </w:tcBorders>
            <w:shd w:val="clear" w:color="auto" w:fill="auto"/>
            <w:noWrap/>
            <w:hideMark/>
          </w:tcPr>
          <w:p w14:paraId="56287EA4" w14:textId="77777777" w:rsidR="00C922F7" w:rsidRPr="00097181" w:rsidRDefault="00C922F7" w:rsidP="00713C93">
            <w:r w:rsidRPr="00097181">
              <w:t>84 (1.1)</w:t>
            </w:r>
          </w:p>
        </w:tc>
        <w:tc>
          <w:tcPr>
            <w:tcW w:w="1006" w:type="dxa"/>
            <w:tcBorders>
              <w:bottom w:val="nil"/>
            </w:tcBorders>
            <w:shd w:val="clear" w:color="auto" w:fill="auto"/>
            <w:noWrap/>
            <w:hideMark/>
          </w:tcPr>
          <w:p w14:paraId="6A8F2C4C" w14:textId="77777777" w:rsidR="00C922F7" w:rsidRPr="00097181" w:rsidRDefault="00C922F7" w:rsidP="00713C93">
            <w:r w:rsidRPr="00097181">
              <w:t>0.200</w:t>
            </w:r>
          </w:p>
        </w:tc>
        <w:tc>
          <w:tcPr>
            <w:tcW w:w="3968" w:type="dxa"/>
            <w:tcBorders>
              <w:bottom w:val="nil"/>
            </w:tcBorders>
            <w:shd w:val="clear" w:color="auto" w:fill="auto"/>
            <w:noWrap/>
            <w:hideMark/>
          </w:tcPr>
          <w:p w14:paraId="11A34DD5" w14:textId="77777777" w:rsidR="00C922F7" w:rsidRPr="00097181" w:rsidRDefault="00C922F7" w:rsidP="00713C93">
            <w:r w:rsidRPr="00097181">
              <w:t>ornithology</w:t>
            </w:r>
          </w:p>
        </w:tc>
      </w:tr>
      <w:tr w:rsidR="00C922F7" w:rsidRPr="00097181" w14:paraId="7E7F65AE" w14:textId="77777777" w:rsidTr="001E0B61">
        <w:trPr>
          <w:trHeight w:val="531"/>
          <w:jc w:val="center"/>
        </w:trPr>
        <w:tc>
          <w:tcPr>
            <w:tcW w:w="0" w:type="auto"/>
            <w:tcBorders>
              <w:top w:val="nil"/>
              <w:bottom w:val="nil"/>
            </w:tcBorders>
            <w:shd w:val="clear" w:color="auto" w:fill="auto"/>
            <w:noWrap/>
            <w:hideMark/>
          </w:tcPr>
          <w:p w14:paraId="7704116D" w14:textId="77777777" w:rsidR="00C922F7" w:rsidRPr="00097181" w:rsidRDefault="00C922F7" w:rsidP="00713C93">
            <w:r w:rsidRPr="00097181">
              <w:t>IEEE Latin America Transactions</w:t>
            </w:r>
          </w:p>
        </w:tc>
        <w:tc>
          <w:tcPr>
            <w:tcW w:w="1124" w:type="dxa"/>
            <w:tcBorders>
              <w:top w:val="nil"/>
              <w:bottom w:val="nil"/>
            </w:tcBorders>
            <w:shd w:val="clear" w:color="auto" w:fill="auto"/>
            <w:noWrap/>
            <w:hideMark/>
          </w:tcPr>
          <w:p w14:paraId="721D69FF" w14:textId="77777777" w:rsidR="00C922F7" w:rsidRPr="00097181" w:rsidRDefault="00C922F7" w:rsidP="00713C93">
            <w:r w:rsidRPr="00097181">
              <w:t>74 (0.95)</w:t>
            </w:r>
          </w:p>
        </w:tc>
        <w:tc>
          <w:tcPr>
            <w:tcW w:w="1006" w:type="dxa"/>
            <w:tcBorders>
              <w:top w:val="nil"/>
              <w:bottom w:val="nil"/>
            </w:tcBorders>
            <w:shd w:val="clear" w:color="auto" w:fill="auto"/>
            <w:noWrap/>
            <w:hideMark/>
          </w:tcPr>
          <w:p w14:paraId="6D784EF3" w14:textId="77777777" w:rsidR="00C922F7" w:rsidRPr="00097181" w:rsidRDefault="00C922F7" w:rsidP="00713C93">
            <w:r w:rsidRPr="00097181">
              <w:t>0.502</w:t>
            </w:r>
          </w:p>
        </w:tc>
        <w:tc>
          <w:tcPr>
            <w:tcW w:w="3968" w:type="dxa"/>
            <w:tcBorders>
              <w:top w:val="nil"/>
              <w:bottom w:val="nil"/>
            </w:tcBorders>
            <w:shd w:val="clear" w:color="auto" w:fill="auto"/>
            <w:noWrap/>
            <w:hideMark/>
          </w:tcPr>
          <w:p w14:paraId="3B79AF19" w14:textId="77777777" w:rsidR="00C922F7" w:rsidRPr="00097181" w:rsidRDefault="00C922F7" w:rsidP="00713C93">
            <w:r w:rsidRPr="00097181">
              <w:t>information systems computer science</w:t>
            </w:r>
          </w:p>
          <w:p w14:paraId="463F1E6F" w14:textId="77777777" w:rsidR="00C922F7" w:rsidRPr="00097181" w:rsidRDefault="00C922F7" w:rsidP="00713C93">
            <w:r w:rsidRPr="00097181">
              <w:t>electrical and electronic engineering</w:t>
            </w:r>
          </w:p>
        </w:tc>
      </w:tr>
      <w:tr w:rsidR="00C922F7" w:rsidRPr="00097181" w14:paraId="2445BC0D" w14:textId="77777777" w:rsidTr="001E0B61">
        <w:trPr>
          <w:trHeight w:val="315"/>
          <w:jc w:val="center"/>
        </w:trPr>
        <w:tc>
          <w:tcPr>
            <w:tcW w:w="0" w:type="auto"/>
            <w:tcBorders>
              <w:top w:val="nil"/>
              <w:bottom w:val="nil"/>
            </w:tcBorders>
            <w:shd w:val="clear" w:color="auto" w:fill="auto"/>
            <w:noWrap/>
            <w:hideMark/>
          </w:tcPr>
          <w:p w14:paraId="786CD0D9" w14:textId="77777777" w:rsidR="00C922F7" w:rsidRPr="00097181" w:rsidRDefault="00C922F7" w:rsidP="00713C93">
            <w:r w:rsidRPr="00097181">
              <w:t>Journal of High Energy Physics</w:t>
            </w:r>
          </w:p>
        </w:tc>
        <w:tc>
          <w:tcPr>
            <w:tcW w:w="1124" w:type="dxa"/>
            <w:tcBorders>
              <w:top w:val="nil"/>
              <w:bottom w:val="nil"/>
            </w:tcBorders>
            <w:shd w:val="clear" w:color="auto" w:fill="auto"/>
            <w:noWrap/>
            <w:hideMark/>
          </w:tcPr>
          <w:p w14:paraId="019512CA" w14:textId="77777777" w:rsidR="00C922F7" w:rsidRPr="00097181" w:rsidRDefault="00C922F7" w:rsidP="00713C93">
            <w:r w:rsidRPr="00097181">
              <w:t>54 (0.69)</w:t>
            </w:r>
          </w:p>
        </w:tc>
        <w:tc>
          <w:tcPr>
            <w:tcW w:w="1006" w:type="dxa"/>
            <w:tcBorders>
              <w:top w:val="nil"/>
              <w:bottom w:val="nil"/>
            </w:tcBorders>
            <w:shd w:val="clear" w:color="auto" w:fill="auto"/>
            <w:noWrap/>
            <w:hideMark/>
          </w:tcPr>
          <w:p w14:paraId="4EFE8FE5" w14:textId="77777777" w:rsidR="00C922F7" w:rsidRPr="00097181" w:rsidRDefault="00C922F7" w:rsidP="00713C93">
            <w:r w:rsidRPr="00097181">
              <w:t>5.541</w:t>
            </w:r>
          </w:p>
        </w:tc>
        <w:tc>
          <w:tcPr>
            <w:tcW w:w="3968" w:type="dxa"/>
            <w:tcBorders>
              <w:top w:val="nil"/>
              <w:bottom w:val="nil"/>
            </w:tcBorders>
            <w:shd w:val="clear" w:color="auto" w:fill="auto"/>
            <w:noWrap/>
            <w:hideMark/>
          </w:tcPr>
          <w:p w14:paraId="16E32D18" w14:textId="77777777" w:rsidR="00C922F7" w:rsidRPr="00097181" w:rsidRDefault="00C922F7" w:rsidP="00713C93">
            <w:r w:rsidRPr="00097181">
              <w:t>particles and fields physics</w:t>
            </w:r>
          </w:p>
        </w:tc>
      </w:tr>
    </w:tbl>
    <w:p w14:paraId="224BF965" w14:textId="77777777" w:rsidR="00C922F7" w:rsidRPr="00097181" w:rsidRDefault="00C922F7" w:rsidP="00713C93"/>
    <w:p w14:paraId="2BA0DC0A" w14:textId="7E97C812" w:rsidR="00611AEA" w:rsidRPr="00097181" w:rsidRDefault="00C922F7" w:rsidP="00713C93">
      <w:pPr>
        <w:sectPr w:rsidR="00611AEA" w:rsidRPr="00097181" w:rsidSect="00C26EBA">
          <w:pgSz w:w="11907" w:h="16840" w:code="9"/>
          <w:pgMar w:top="1134" w:right="1134" w:bottom="1134" w:left="1134" w:header="720" w:footer="720" w:gutter="0"/>
          <w:cols w:space="720"/>
          <w:noEndnote/>
          <w:docGrid w:linePitch="326"/>
        </w:sectPr>
      </w:pPr>
      <w:r w:rsidRPr="00097181">
        <w:rPr>
          <w:i/>
        </w:rPr>
        <w:t>TP</w:t>
      </w:r>
      <w:r w:rsidRPr="00097181">
        <w:t xml:space="preserve"> (%): rank and the percentage of number of articles; </w:t>
      </w:r>
      <w:r w:rsidRPr="00097181">
        <w:rPr>
          <w:i/>
        </w:rPr>
        <w:t>IF</w:t>
      </w:r>
      <w:r w:rsidRPr="00097181">
        <w:rPr>
          <w:vertAlign w:val="subscript"/>
        </w:rPr>
        <w:t>2017</w:t>
      </w:r>
      <w:r w:rsidRPr="00097181">
        <w:t>: impact factor in 201</w:t>
      </w:r>
    </w:p>
    <w:p w14:paraId="216DC984" w14:textId="77777777" w:rsidR="00611AEA" w:rsidRPr="00097181" w:rsidRDefault="00611AEA" w:rsidP="00713C93"/>
    <w:p w14:paraId="1BDA4EFA" w14:textId="77777777" w:rsidR="00611AEA" w:rsidRPr="00097181" w:rsidRDefault="00611AEA" w:rsidP="006878A4">
      <w:pPr>
        <w:jc w:val="center"/>
      </w:pPr>
      <w:r w:rsidRPr="00097181">
        <w:t>TABLE 3</w:t>
      </w:r>
    </w:p>
    <w:p w14:paraId="21149F2B" w14:textId="77777777" w:rsidR="00611AEA" w:rsidRPr="00097181" w:rsidRDefault="00611AEA" w:rsidP="006878A4">
      <w:pPr>
        <w:jc w:val="center"/>
      </w:pPr>
      <w:r w:rsidRPr="00097181">
        <w:t xml:space="preserve">Top 13 articles with </w:t>
      </w:r>
      <w:r w:rsidRPr="00097181">
        <w:rPr>
          <w:i/>
        </w:rPr>
        <w:t>TC</w:t>
      </w:r>
      <w:r w:rsidRPr="00097181">
        <w:rPr>
          <w:vertAlign w:val="subscript"/>
        </w:rPr>
        <w:t>2017</w:t>
      </w:r>
      <w:r w:rsidRPr="00097181">
        <w:t xml:space="preserve"> &gt; 450</w:t>
      </w:r>
    </w:p>
    <w:p w14:paraId="2F2B0000" w14:textId="77777777" w:rsidR="00611AEA" w:rsidRPr="00097181" w:rsidRDefault="00611AEA" w:rsidP="00713C93"/>
    <w:tbl>
      <w:tblPr>
        <w:tblW w:w="14742" w:type="dxa"/>
        <w:tblLook w:val="04A0" w:firstRow="1" w:lastRow="0" w:firstColumn="1" w:lastColumn="0" w:noHBand="0" w:noVBand="1"/>
      </w:tblPr>
      <w:tblGrid>
        <w:gridCol w:w="1133"/>
        <w:gridCol w:w="1135"/>
        <w:gridCol w:w="5670"/>
        <w:gridCol w:w="4395"/>
        <w:gridCol w:w="2409"/>
      </w:tblGrid>
      <w:tr w:rsidR="00611AEA" w:rsidRPr="00097181" w14:paraId="5F4F2DA7" w14:textId="77777777" w:rsidTr="001E0B61">
        <w:trPr>
          <w:trHeight w:val="315"/>
        </w:trPr>
        <w:tc>
          <w:tcPr>
            <w:tcW w:w="1133" w:type="dxa"/>
            <w:shd w:val="clear" w:color="auto" w:fill="D9D9D9" w:themeFill="background1" w:themeFillShade="D9"/>
            <w:noWrap/>
            <w:hideMark/>
          </w:tcPr>
          <w:p w14:paraId="1FABCF80" w14:textId="77777777" w:rsidR="00611AEA" w:rsidRPr="00097181" w:rsidRDefault="00611AEA" w:rsidP="00713C93">
            <w:r w:rsidRPr="00097181">
              <w:t>Rank</w:t>
            </w:r>
          </w:p>
          <w:p w14:paraId="1D4430A0" w14:textId="77777777" w:rsidR="00611AEA" w:rsidRPr="00097181" w:rsidRDefault="00611AEA" w:rsidP="00713C93">
            <w:r w:rsidRPr="00097181">
              <w:t>(</w:t>
            </w:r>
            <w:r w:rsidRPr="00097181">
              <w:rPr>
                <w:i/>
              </w:rPr>
              <w:t>TC</w:t>
            </w:r>
            <w:r w:rsidRPr="00097181">
              <w:rPr>
                <w:vertAlign w:val="subscript"/>
              </w:rPr>
              <w:t>2017</w:t>
            </w:r>
            <w:r w:rsidRPr="00097181">
              <w:t>)</w:t>
            </w:r>
          </w:p>
        </w:tc>
        <w:tc>
          <w:tcPr>
            <w:tcW w:w="1135" w:type="dxa"/>
            <w:shd w:val="clear" w:color="auto" w:fill="D9D9D9" w:themeFill="background1" w:themeFillShade="D9"/>
            <w:noWrap/>
            <w:hideMark/>
          </w:tcPr>
          <w:p w14:paraId="5C0A3CC5" w14:textId="77777777" w:rsidR="00611AEA" w:rsidRPr="00097181" w:rsidRDefault="00611AEA" w:rsidP="00713C93">
            <w:r w:rsidRPr="00097181">
              <w:t>Rank</w:t>
            </w:r>
          </w:p>
          <w:p w14:paraId="0FCA38D2" w14:textId="77777777" w:rsidR="00611AEA" w:rsidRPr="00097181" w:rsidRDefault="00611AEA" w:rsidP="00713C93">
            <w:r w:rsidRPr="00097181">
              <w:t>(</w:t>
            </w:r>
            <w:r w:rsidRPr="00097181">
              <w:rPr>
                <w:i/>
              </w:rPr>
              <w:t>C</w:t>
            </w:r>
            <w:r w:rsidRPr="00097181">
              <w:rPr>
                <w:vertAlign w:val="subscript"/>
              </w:rPr>
              <w:t>2017</w:t>
            </w:r>
            <w:r w:rsidRPr="00097181">
              <w:t>)</w:t>
            </w:r>
          </w:p>
        </w:tc>
        <w:tc>
          <w:tcPr>
            <w:tcW w:w="5670" w:type="dxa"/>
            <w:shd w:val="clear" w:color="auto" w:fill="D9D9D9" w:themeFill="background1" w:themeFillShade="D9"/>
            <w:noWrap/>
            <w:hideMark/>
          </w:tcPr>
          <w:p w14:paraId="5BF28F4D" w14:textId="77777777" w:rsidR="00611AEA" w:rsidRPr="00097181" w:rsidRDefault="00611AEA" w:rsidP="00713C93">
            <w:r w:rsidRPr="00097181">
              <w:t>Article titles</w:t>
            </w:r>
          </w:p>
        </w:tc>
        <w:tc>
          <w:tcPr>
            <w:tcW w:w="4395" w:type="dxa"/>
            <w:shd w:val="clear" w:color="auto" w:fill="D9D9D9" w:themeFill="background1" w:themeFillShade="D9"/>
            <w:noWrap/>
            <w:hideMark/>
          </w:tcPr>
          <w:p w14:paraId="037073F6" w14:textId="77777777" w:rsidR="00611AEA" w:rsidRPr="00097181" w:rsidRDefault="00611AEA" w:rsidP="00713C93">
            <w:r w:rsidRPr="00097181">
              <w:t>Countries</w:t>
            </w:r>
          </w:p>
        </w:tc>
        <w:tc>
          <w:tcPr>
            <w:tcW w:w="2409" w:type="dxa"/>
            <w:shd w:val="clear" w:color="auto" w:fill="D9D9D9" w:themeFill="background1" w:themeFillShade="D9"/>
            <w:noWrap/>
            <w:hideMark/>
          </w:tcPr>
          <w:p w14:paraId="0C1D68EE" w14:textId="77777777" w:rsidR="00611AEA" w:rsidRPr="00097181" w:rsidRDefault="00611AEA" w:rsidP="00713C93">
            <w:r w:rsidRPr="00097181">
              <w:t>References</w:t>
            </w:r>
          </w:p>
        </w:tc>
      </w:tr>
      <w:tr w:rsidR="00611AEA" w:rsidRPr="00097181" w14:paraId="32B0767C" w14:textId="77777777" w:rsidTr="001E0B61">
        <w:trPr>
          <w:trHeight w:val="529"/>
        </w:trPr>
        <w:tc>
          <w:tcPr>
            <w:tcW w:w="1133" w:type="dxa"/>
            <w:shd w:val="clear" w:color="auto" w:fill="auto"/>
            <w:noWrap/>
            <w:hideMark/>
          </w:tcPr>
          <w:p w14:paraId="7B974C89" w14:textId="77777777" w:rsidR="00611AEA" w:rsidRPr="00097181" w:rsidRDefault="00611AEA" w:rsidP="00713C93">
            <w:r w:rsidRPr="00097181">
              <w:t>1 (1 828)</w:t>
            </w:r>
          </w:p>
        </w:tc>
        <w:tc>
          <w:tcPr>
            <w:tcW w:w="1135" w:type="dxa"/>
            <w:shd w:val="clear" w:color="auto" w:fill="auto"/>
            <w:noWrap/>
            <w:hideMark/>
          </w:tcPr>
          <w:p w14:paraId="7660210C" w14:textId="77777777" w:rsidR="00611AEA" w:rsidRPr="00097181" w:rsidRDefault="00611AEA" w:rsidP="00713C93">
            <w:r w:rsidRPr="00097181">
              <w:t>1 (306)</w:t>
            </w:r>
          </w:p>
        </w:tc>
        <w:tc>
          <w:tcPr>
            <w:tcW w:w="5670" w:type="dxa"/>
            <w:shd w:val="clear" w:color="auto" w:fill="auto"/>
            <w:noWrap/>
            <w:hideMark/>
          </w:tcPr>
          <w:p w14:paraId="60E0BE2C" w14:textId="77777777" w:rsidR="00611AEA" w:rsidRPr="00097181" w:rsidRDefault="00611AEA" w:rsidP="00713C93">
            <w:r w:rsidRPr="00097181">
              <w:t>Preexposure chemoprophylaxis for HIV prevention in men who have sex with men</w:t>
            </w:r>
          </w:p>
        </w:tc>
        <w:tc>
          <w:tcPr>
            <w:tcW w:w="4395" w:type="dxa"/>
            <w:shd w:val="clear" w:color="auto" w:fill="auto"/>
            <w:noWrap/>
            <w:hideMark/>
          </w:tcPr>
          <w:p w14:paraId="28EC7EB8" w14:textId="77777777" w:rsidR="00611AEA" w:rsidRPr="00097181" w:rsidRDefault="00611AEA" w:rsidP="00713C93">
            <w:r w:rsidRPr="00097181">
              <w:t>USA, Peru, Ecuador, Brazil, Thailand, South Africa</w:t>
            </w:r>
          </w:p>
        </w:tc>
        <w:tc>
          <w:tcPr>
            <w:tcW w:w="2409" w:type="dxa"/>
            <w:shd w:val="clear" w:color="auto" w:fill="auto"/>
            <w:noWrap/>
            <w:hideMark/>
          </w:tcPr>
          <w:p w14:paraId="13C61F6E" w14:textId="77777777" w:rsidR="00611AEA" w:rsidRPr="00097181" w:rsidRDefault="00611AEA" w:rsidP="00713C93">
            <w:r w:rsidRPr="00097181">
              <w:t>Grant et al. (2010)</w:t>
            </w:r>
          </w:p>
        </w:tc>
      </w:tr>
      <w:tr w:rsidR="00611AEA" w:rsidRPr="00097181" w14:paraId="269C9D79" w14:textId="77777777" w:rsidTr="001E0B61">
        <w:trPr>
          <w:trHeight w:val="315"/>
        </w:trPr>
        <w:tc>
          <w:tcPr>
            <w:tcW w:w="1133" w:type="dxa"/>
            <w:shd w:val="clear" w:color="auto" w:fill="auto"/>
            <w:noWrap/>
            <w:hideMark/>
          </w:tcPr>
          <w:p w14:paraId="36BE3D60" w14:textId="77777777" w:rsidR="00611AEA" w:rsidRPr="00097181" w:rsidRDefault="00611AEA" w:rsidP="00713C93">
            <w:r w:rsidRPr="00097181">
              <w:t>2 (1 229)</w:t>
            </w:r>
          </w:p>
        </w:tc>
        <w:tc>
          <w:tcPr>
            <w:tcW w:w="1135" w:type="dxa"/>
            <w:shd w:val="clear" w:color="auto" w:fill="auto"/>
            <w:noWrap/>
            <w:hideMark/>
          </w:tcPr>
          <w:p w14:paraId="3B456CE8" w14:textId="77777777" w:rsidR="00611AEA" w:rsidRPr="00097181" w:rsidRDefault="00611AEA" w:rsidP="00713C93">
            <w:r w:rsidRPr="00097181">
              <w:t>5 (152)</w:t>
            </w:r>
          </w:p>
        </w:tc>
        <w:tc>
          <w:tcPr>
            <w:tcW w:w="5670" w:type="dxa"/>
            <w:shd w:val="clear" w:color="auto" w:fill="auto"/>
            <w:noWrap/>
            <w:hideMark/>
          </w:tcPr>
          <w:p w14:paraId="716FE2BC" w14:textId="77777777" w:rsidR="00611AEA" w:rsidRPr="00097181" w:rsidRDefault="00611AEA" w:rsidP="00713C93">
            <w:r w:rsidRPr="00097181">
              <w:rPr>
                <w:i/>
              </w:rPr>
              <w:t>G</w:t>
            </w:r>
            <w:r w:rsidRPr="00097181">
              <w:rPr>
                <w:vertAlign w:val="subscript"/>
              </w:rPr>
              <w:t>ST</w:t>
            </w:r>
            <w:r w:rsidRPr="00097181">
              <w:t xml:space="preserve"> and its relatives do not measure differentiation</w:t>
            </w:r>
          </w:p>
        </w:tc>
        <w:tc>
          <w:tcPr>
            <w:tcW w:w="4395" w:type="dxa"/>
            <w:shd w:val="clear" w:color="auto" w:fill="auto"/>
            <w:noWrap/>
            <w:hideMark/>
          </w:tcPr>
          <w:p w14:paraId="6C5A3A0F" w14:textId="77777777" w:rsidR="00611AEA" w:rsidRPr="00097181" w:rsidRDefault="00611AEA" w:rsidP="00713C93">
            <w:r w:rsidRPr="00097181">
              <w:t>Ecuador</w:t>
            </w:r>
          </w:p>
        </w:tc>
        <w:tc>
          <w:tcPr>
            <w:tcW w:w="2409" w:type="dxa"/>
            <w:shd w:val="clear" w:color="auto" w:fill="auto"/>
            <w:noWrap/>
            <w:hideMark/>
          </w:tcPr>
          <w:p w14:paraId="5C7243B7" w14:textId="77777777" w:rsidR="00611AEA" w:rsidRPr="00097181" w:rsidRDefault="00611AEA" w:rsidP="00713C93">
            <w:proofErr w:type="spellStart"/>
            <w:r w:rsidRPr="00097181">
              <w:t>Jost</w:t>
            </w:r>
            <w:proofErr w:type="spellEnd"/>
            <w:r w:rsidRPr="00097181">
              <w:t xml:space="preserve"> (2008)</w:t>
            </w:r>
          </w:p>
        </w:tc>
      </w:tr>
      <w:tr w:rsidR="00611AEA" w:rsidRPr="00097181" w14:paraId="3AB7656F" w14:textId="77777777" w:rsidTr="001E0B61">
        <w:trPr>
          <w:trHeight w:val="537"/>
        </w:trPr>
        <w:tc>
          <w:tcPr>
            <w:tcW w:w="1133" w:type="dxa"/>
            <w:shd w:val="clear" w:color="auto" w:fill="auto"/>
            <w:noWrap/>
            <w:hideMark/>
          </w:tcPr>
          <w:p w14:paraId="6151E433" w14:textId="77777777" w:rsidR="00611AEA" w:rsidRPr="00097181" w:rsidRDefault="00611AEA" w:rsidP="00713C93">
            <w:r w:rsidRPr="00097181">
              <w:t>3 (836)</w:t>
            </w:r>
          </w:p>
        </w:tc>
        <w:tc>
          <w:tcPr>
            <w:tcW w:w="1135" w:type="dxa"/>
            <w:shd w:val="clear" w:color="auto" w:fill="auto"/>
            <w:noWrap/>
            <w:hideMark/>
          </w:tcPr>
          <w:p w14:paraId="1DAC700A" w14:textId="77777777" w:rsidR="00611AEA" w:rsidRPr="00097181" w:rsidRDefault="00611AEA" w:rsidP="00713C93">
            <w:r w:rsidRPr="00097181">
              <w:t>17 (64)</w:t>
            </w:r>
          </w:p>
        </w:tc>
        <w:tc>
          <w:tcPr>
            <w:tcW w:w="5670" w:type="dxa"/>
            <w:shd w:val="clear" w:color="auto" w:fill="auto"/>
            <w:noWrap/>
            <w:hideMark/>
          </w:tcPr>
          <w:p w14:paraId="7B52FE9B" w14:textId="77777777" w:rsidR="00611AEA" w:rsidRPr="00097181" w:rsidRDefault="00611AEA" w:rsidP="00713C93">
            <w:r w:rsidRPr="00097181">
              <w:t>Widespread amphibian extinctions from epidemic disease driven by global warming</w:t>
            </w:r>
          </w:p>
        </w:tc>
        <w:tc>
          <w:tcPr>
            <w:tcW w:w="4395" w:type="dxa"/>
            <w:shd w:val="clear" w:color="auto" w:fill="auto"/>
            <w:noWrap/>
            <w:hideMark/>
          </w:tcPr>
          <w:p w14:paraId="39FE6B62" w14:textId="77777777" w:rsidR="00611AEA" w:rsidRPr="00097181" w:rsidRDefault="00611AEA" w:rsidP="00713C93">
            <w:pPr>
              <w:rPr>
                <w:lang w:val="es-EC"/>
              </w:rPr>
            </w:pPr>
            <w:r w:rsidRPr="00097181">
              <w:rPr>
                <w:lang w:val="es-EC"/>
              </w:rPr>
              <w:t xml:space="preserve">Costa Rica, Ecuador, USA, </w:t>
            </w:r>
            <w:proofErr w:type="spellStart"/>
            <w:r w:rsidRPr="00097181">
              <w:rPr>
                <w:lang w:val="es-EC"/>
              </w:rPr>
              <w:t>Japan</w:t>
            </w:r>
            <w:proofErr w:type="spellEnd"/>
            <w:r w:rsidRPr="00097181">
              <w:rPr>
                <w:lang w:val="es-EC"/>
              </w:rPr>
              <w:t xml:space="preserve">, Venezuela, </w:t>
            </w:r>
            <w:proofErr w:type="spellStart"/>
            <w:r w:rsidRPr="00097181">
              <w:rPr>
                <w:lang w:val="es-EC"/>
              </w:rPr>
              <w:t>Canada</w:t>
            </w:r>
            <w:proofErr w:type="spellEnd"/>
          </w:p>
        </w:tc>
        <w:tc>
          <w:tcPr>
            <w:tcW w:w="2409" w:type="dxa"/>
            <w:shd w:val="clear" w:color="auto" w:fill="auto"/>
            <w:noWrap/>
            <w:hideMark/>
          </w:tcPr>
          <w:p w14:paraId="706A57CE" w14:textId="77777777" w:rsidR="00611AEA" w:rsidRPr="00097181" w:rsidRDefault="00611AEA" w:rsidP="00713C93">
            <w:r w:rsidRPr="00097181">
              <w:t>Pounds et al. (2006)</w:t>
            </w:r>
          </w:p>
        </w:tc>
      </w:tr>
      <w:tr w:rsidR="00611AEA" w:rsidRPr="00097181" w14:paraId="22CDA8D3" w14:textId="77777777" w:rsidTr="001E0B61">
        <w:trPr>
          <w:trHeight w:val="315"/>
        </w:trPr>
        <w:tc>
          <w:tcPr>
            <w:tcW w:w="1133" w:type="dxa"/>
            <w:shd w:val="clear" w:color="auto" w:fill="auto"/>
            <w:noWrap/>
            <w:hideMark/>
          </w:tcPr>
          <w:p w14:paraId="28BB26DF" w14:textId="77777777" w:rsidR="00611AEA" w:rsidRPr="00097181" w:rsidRDefault="00611AEA" w:rsidP="00713C93">
            <w:r w:rsidRPr="00097181">
              <w:t>4 (741)</w:t>
            </w:r>
          </w:p>
        </w:tc>
        <w:tc>
          <w:tcPr>
            <w:tcW w:w="1135" w:type="dxa"/>
            <w:shd w:val="clear" w:color="auto" w:fill="auto"/>
            <w:noWrap/>
            <w:hideMark/>
          </w:tcPr>
          <w:p w14:paraId="2ECF00CB" w14:textId="77777777" w:rsidR="00611AEA" w:rsidRPr="00097181" w:rsidRDefault="00611AEA" w:rsidP="00713C93">
            <w:r w:rsidRPr="00097181">
              <w:t>33 (46)</w:t>
            </w:r>
          </w:p>
        </w:tc>
        <w:tc>
          <w:tcPr>
            <w:tcW w:w="5670" w:type="dxa"/>
            <w:shd w:val="clear" w:color="auto" w:fill="auto"/>
            <w:noWrap/>
            <w:hideMark/>
          </w:tcPr>
          <w:p w14:paraId="565E4609" w14:textId="77777777" w:rsidR="00611AEA" w:rsidRPr="00097181" w:rsidRDefault="00611AEA" w:rsidP="00713C93">
            <w:r w:rsidRPr="00097181">
              <w:t>Beta-diversity in tropical forest trees</w:t>
            </w:r>
          </w:p>
        </w:tc>
        <w:tc>
          <w:tcPr>
            <w:tcW w:w="4395" w:type="dxa"/>
            <w:shd w:val="clear" w:color="auto" w:fill="auto"/>
            <w:noWrap/>
            <w:hideMark/>
          </w:tcPr>
          <w:p w14:paraId="79B19C63" w14:textId="77777777" w:rsidR="00611AEA" w:rsidRPr="00097181" w:rsidRDefault="00611AEA" w:rsidP="00713C93">
            <w:r w:rsidRPr="00097181">
              <w:t>USA, France, Peru, Ecuador</w:t>
            </w:r>
          </w:p>
        </w:tc>
        <w:tc>
          <w:tcPr>
            <w:tcW w:w="2409" w:type="dxa"/>
            <w:shd w:val="clear" w:color="auto" w:fill="auto"/>
            <w:noWrap/>
            <w:hideMark/>
          </w:tcPr>
          <w:p w14:paraId="2DC968FE" w14:textId="77777777" w:rsidR="00611AEA" w:rsidRPr="00097181" w:rsidRDefault="00611AEA" w:rsidP="00713C93">
            <w:r w:rsidRPr="00097181">
              <w:t>Condit et al. (2002)</w:t>
            </w:r>
          </w:p>
        </w:tc>
      </w:tr>
      <w:tr w:rsidR="00611AEA" w:rsidRPr="00097181" w14:paraId="39A4E9ED" w14:textId="77777777" w:rsidTr="001E0B61">
        <w:trPr>
          <w:trHeight w:val="819"/>
        </w:trPr>
        <w:tc>
          <w:tcPr>
            <w:tcW w:w="1133" w:type="dxa"/>
            <w:shd w:val="clear" w:color="auto" w:fill="auto"/>
            <w:noWrap/>
            <w:hideMark/>
          </w:tcPr>
          <w:p w14:paraId="46D2643E" w14:textId="77777777" w:rsidR="00611AEA" w:rsidRPr="00097181" w:rsidRDefault="00611AEA" w:rsidP="00713C93">
            <w:r w:rsidRPr="00097181">
              <w:t>5 (711)</w:t>
            </w:r>
          </w:p>
        </w:tc>
        <w:tc>
          <w:tcPr>
            <w:tcW w:w="1135" w:type="dxa"/>
            <w:shd w:val="clear" w:color="auto" w:fill="auto"/>
            <w:noWrap/>
            <w:hideMark/>
          </w:tcPr>
          <w:p w14:paraId="105C8434" w14:textId="77777777" w:rsidR="00611AEA" w:rsidRPr="00097181" w:rsidRDefault="00611AEA" w:rsidP="00713C93">
            <w:r w:rsidRPr="00097181">
              <w:t>3 (261)</w:t>
            </w:r>
          </w:p>
        </w:tc>
        <w:tc>
          <w:tcPr>
            <w:tcW w:w="5670" w:type="dxa"/>
            <w:shd w:val="clear" w:color="auto" w:fill="auto"/>
            <w:noWrap/>
            <w:hideMark/>
          </w:tcPr>
          <w:p w14:paraId="48488506" w14:textId="77777777" w:rsidR="00611AEA" w:rsidRPr="00097181" w:rsidRDefault="00611AEA" w:rsidP="00713C93">
            <w:r w:rsidRPr="00097181">
              <w:t>Antibiotic resistance-the need for global solutions</w:t>
            </w:r>
          </w:p>
        </w:tc>
        <w:tc>
          <w:tcPr>
            <w:tcW w:w="4395" w:type="dxa"/>
            <w:shd w:val="clear" w:color="auto" w:fill="auto"/>
            <w:noWrap/>
            <w:hideMark/>
          </w:tcPr>
          <w:p w14:paraId="2124119F" w14:textId="77777777" w:rsidR="00611AEA" w:rsidRPr="00097181" w:rsidRDefault="00611AEA" w:rsidP="00713C93">
            <w:r w:rsidRPr="00097181">
              <w:t>Sweden, USA, India, South Africa, Pakistan, UK, Thailand, Belgium, Argentina, Switzerland, Tanzania, Ecuador, Kenya, Canada</w:t>
            </w:r>
          </w:p>
        </w:tc>
        <w:tc>
          <w:tcPr>
            <w:tcW w:w="2409" w:type="dxa"/>
            <w:shd w:val="clear" w:color="auto" w:fill="auto"/>
            <w:noWrap/>
            <w:hideMark/>
          </w:tcPr>
          <w:p w14:paraId="7FC4BD73" w14:textId="77777777" w:rsidR="00611AEA" w:rsidRPr="00097181" w:rsidRDefault="00611AEA" w:rsidP="00713C93">
            <w:r w:rsidRPr="00097181">
              <w:t>Laxminarayan et al. (2013)</w:t>
            </w:r>
          </w:p>
        </w:tc>
      </w:tr>
      <w:tr w:rsidR="00611AEA" w:rsidRPr="00097181" w14:paraId="48929A28" w14:textId="77777777" w:rsidTr="001E0B61">
        <w:trPr>
          <w:trHeight w:val="845"/>
        </w:trPr>
        <w:tc>
          <w:tcPr>
            <w:tcW w:w="1133" w:type="dxa"/>
            <w:shd w:val="clear" w:color="auto" w:fill="auto"/>
            <w:noWrap/>
            <w:hideMark/>
          </w:tcPr>
          <w:p w14:paraId="06AEFA66" w14:textId="77777777" w:rsidR="00611AEA" w:rsidRPr="00097181" w:rsidRDefault="00611AEA" w:rsidP="00713C93">
            <w:r w:rsidRPr="00097181">
              <w:t>6 (699)</w:t>
            </w:r>
          </w:p>
        </w:tc>
        <w:tc>
          <w:tcPr>
            <w:tcW w:w="1135" w:type="dxa"/>
            <w:shd w:val="clear" w:color="auto" w:fill="auto"/>
            <w:noWrap/>
            <w:hideMark/>
          </w:tcPr>
          <w:p w14:paraId="01C8D19B" w14:textId="77777777" w:rsidR="00611AEA" w:rsidRPr="00097181" w:rsidRDefault="00611AEA" w:rsidP="00713C93">
            <w:r w:rsidRPr="00097181">
              <w:t>7 (93)</w:t>
            </w:r>
          </w:p>
        </w:tc>
        <w:tc>
          <w:tcPr>
            <w:tcW w:w="5670" w:type="dxa"/>
            <w:shd w:val="clear" w:color="auto" w:fill="auto"/>
            <w:noWrap/>
            <w:hideMark/>
          </w:tcPr>
          <w:p w14:paraId="101DE3C7" w14:textId="77777777" w:rsidR="00611AEA" w:rsidRPr="00097181" w:rsidRDefault="00611AEA" w:rsidP="00713C93">
            <w:r w:rsidRPr="00097181">
              <w:t>Drought Sensitivity of the Amazon Rainforest</w:t>
            </w:r>
          </w:p>
        </w:tc>
        <w:tc>
          <w:tcPr>
            <w:tcW w:w="4395" w:type="dxa"/>
            <w:shd w:val="clear" w:color="auto" w:fill="auto"/>
            <w:noWrap/>
            <w:hideMark/>
          </w:tcPr>
          <w:p w14:paraId="65B8132C" w14:textId="77777777" w:rsidR="00611AEA" w:rsidRPr="00097181" w:rsidRDefault="00611AEA" w:rsidP="00713C93">
            <w:pPr>
              <w:rPr>
                <w:lang w:val="es-EC"/>
              </w:rPr>
            </w:pPr>
            <w:r w:rsidRPr="00097181">
              <w:rPr>
                <w:lang w:val="es-EC"/>
              </w:rPr>
              <w:t xml:space="preserve">UK, </w:t>
            </w:r>
            <w:proofErr w:type="spellStart"/>
            <w:r w:rsidRPr="00097181">
              <w:rPr>
                <w:lang w:val="es-EC"/>
              </w:rPr>
              <w:t>Peru</w:t>
            </w:r>
            <w:proofErr w:type="spellEnd"/>
            <w:r w:rsidRPr="00097181">
              <w:rPr>
                <w:lang w:val="es-EC"/>
              </w:rPr>
              <w:t xml:space="preserve">, </w:t>
            </w:r>
            <w:proofErr w:type="spellStart"/>
            <w:r w:rsidRPr="00097181">
              <w:rPr>
                <w:lang w:val="es-EC"/>
              </w:rPr>
              <w:t>Brazil</w:t>
            </w:r>
            <w:proofErr w:type="spellEnd"/>
            <w:r w:rsidRPr="00097181">
              <w:rPr>
                <w:lang w:val="es-EC"/>
              </w:rPr>
              <w:t xml:space="preserve">, USA, Bolivia, Venezuela, </w:t>
            </w:r>
            <w:proofErr w:type="spellStart"/>
            <w:r w:rsidRPr="00097181">
              <w:rPr>
                <w:lang w:val="es-EC"/>
              </w:rPr>
              <w:t>Netherlands</w:t>
            </w:r>
            <w:proofErr w:type="spellEnd"/>
            <w:r w:rsidRPr="00097181">
              <w:rPr>
                <w:lang w:val="es-EC"/>
              </w:rPr>
              <w:t xml:space="preserve">, France, Colombia, Australia, Ecuador, </w:t>
            </w:r>
            <w:proofErr w:type="spellStart"/>
            <w:r w:rsidRPr="00097181">
              <w:rPr>
                <w:lang w:val="es-EC"/>
              </w:rPr>
              <w:t>Germany</w:t>
            </w:r>
            <w:proofErr w:type="spellEnd"/>
            <w:r w:rsidRPr="00097181">
              <w:rPr>
                <w:lang w:val="es-EC"/>
              </w:rPr>
              <w:t xml:space="preserve">, </w:t>
            </w:r>
            <w:proofErr w:type="spellStart"/>
            <w:r w:rsidRPr="00097181">
              <w:rPr>
                <w:lang w:val="es-EC"/>
              </w:rPr>
              <w:t>Panama</w:t>
            </w:r>
            <w:proofErr w:type="spellEnd"/>
          </w:p>
        </w:tc>
        <w:tc>
          <w:tcPr>
            <w:tcW w:w="2409" w:type="dxa"/>
            <w:shd w:val="clear" w:color="auto" w:fill="auto"/>
            <w:noWrap/>
            <w:hideMark/>
          </w:tcPr>
          <w:p w14:paraId="61C47392" w14:textId="77777777" w:rsidR="00611AEA" w:rsidRPr="00097181" w:rsidRDefault="00611AEA" w:rsidP="00713C93">
            <w:r w:rsidRPr="00097181">
              <w:t>Phillips et al. (2009)</w:t>
            </w:r>
          </w:p>
        </w:tc>
      </w:tr>
      <w:tr w:rsidR="00611AEA" w:rsidRPr="00097181" w14:paraId="57D39935" w14:textId="77777777" w:rsidTr="001E0B61">
        <w:trPr>
          <w:trHeight w:val="1281"/>
        </w:trPr>
        <w:tc>
          <w:tcPr>
            <w:tcW w:w="1133" w:type="dxa"/>
            <w:shd w:val="clear" w:color="auto" w:fill="auto"/>
            <w:noWrap/>
            <w:hideMark/>
          </w:tcPr>
          <w:p w14:paraId="3B30BC82" w14:textId="77777777" w:rsidR="00611AEA" w:rsidRPr="00097181" w:rsidRDefault="00611AEA" w:rsidP="00713C93">
            <w:r w:rsidRPr="00097181">
              <w:t>7 (619)</w:t>
            </w:r>
          </w:p>
        </w:tc>
        <w:tc>
          <w:tcPr>
            <w:tcW w:w="1135" w:type="dxa"/>
            <w:shd w:val="clear" w:color="auto" w:fill="auto"/>
            <w:noWrap/>
            <w:hideMark/>
          </w:tcPr>
          <w:p w14:paraId="57BCA81C" w14:textId="77777777" w:rsidR="00611AEA" w:rsidRPr="00097181" w:rsidRDefault="00611AEA" w:rsidP="00713C93">
            <w:r w:rsidRPr="00097181">
              <w:t>13 (83)</w:t>
            </w:r>
          </w:p>
        </w:tc>
        <w:tc>
          <w:tcPr>
            <w:tcW w:w="5670" w:type="dxa"/>
            <w:shd w:val="clear" w:color="auto" w:fill="auto"/>
            <w:noWrap/>
            <w:hideMark/>
          </w:tcPr>
          <w:p w14:paraId="7B8A0EB0" w14:textId="77777777" w:rsidR="00611AEA" w:rsidRPr="00097181" w:rsidRDefault="00611AEA" w:rsidP="00713C93">
            <w:r w:rsidRPr="00097181">
              <w:t>The status of the world’s land and marine mammals: Diversity, threat, and knowledge</w:t>
            </w:r>
          </w:p>
        </w:tc>
        <w:tc>
          <w:tcPr>
            <w:tcW w:w="4395" w:type="dxa"/>
            <w:shd w:val="clear" w:color="auto" w:fill="auto"/>
            <w:noWrap/>
            <w:hideMark/>
          </w:tcPr>
          <w:p w14:paraId="7A6271F1" w14:textId="77777777" w:rsidR="00611AEA" w:rsidRPr="00097181" w:rsidRDefault="00611AEA" w:rsidP="00713C93">
            <w:r w:rsidRPr="00097181">
              <w:t>Switzerland, USA, Italy, UK, Argentina, Kenya, Philippines, Australia, Germany, Brazil, Canada, South Africa, Uruguay, Costa Rica, New Zealand, India, Japan, Madagascar, Norway, Belgium, Mexico, China, Ecuador, Poland, Russia</w:t>
            </w:r>
          </w:p>
        </w:tc>
        <w:tc>
          <w:tcPr>
            <w:tcW w:w="2409" w:type="dxa"/>
            <w:shd w:val="clear" w:color="auto" w:fill="auto"/>
            <w:noWrap/>
            <w:hideMark/>
          </w:tcPr>
          <w:p w14:paraId="2DBA1C12" w14:textId="77777777" w:rsidR="00611AEA" w:rsidRPr="00097181" w:rsidRDefault="00611AEA" w:rsidP="00713C93">
            <w:r w:rsidRPr="00097181">
              <w:t>Schipper et al. (2008)</w:t>
            </w:r>
          </w:p>
        </w:tc>
      </w:tr>
      <w:tr w:rsidR="00611AEA" w:rsidRPr="00097181" w14:paraId="5D47E9AA" w14:textId="77777777" w:rsidTr="001E0B61">
        <w:trPr>
          <w:trHeight w:val="563"/>
        </w:trPr>
        <w:tc>
          <w:tcPr>
            <w:tcW w:w="1133" w:type="dxa"/>
            <w:shd w:val="clear" w:color="auto" w:fill="auto"/>
            <w:noWrap/>
            <w:hideMark/>
          </w:tcPr>
          <w:p w14:paraId="6BA968B5" w14:textId="77777777" w:rsidR="00611AEA" w:rsidRPr="00097181" w:rsidRDefault="00611AEA" w:rsidP="00713C93">
            <w:r w:rsidRPr="00097181">
              <w:t>8 (520)</w:t>
            </w:r>
          </w:p>
        </w:tc>
        <w:tc>
          <w:tcPr>
            <w:tcW w:w="1135" w:type="dxa"/>
            <w:shd w:val="clear" w:color="auto" w:fill="auto"/>
            <w:noWrap/>
            <w:hideMark/>
          </w:tcPr>
          <w:p w14:paraId="5D22DB84" w14:textId="77777777" w:rsidR="00611AEA" w:rsidRPr="00097181" w:rsidRDefault="00611AEA" w:rsidP="00713C93">
            <w:r w:rsidRPr="00097181">
              <w:t>25 (56)</w:t>
            </w:r>
          </w:p>
        </w:tc>
        <w:tc>
          <w:tcPr>
            <w:tcW w:w="5670" w:type="dxa"/>
            <w:shd w:val="clear" w:color="auto" w:fill="auto"/>
            <w:noWrap/>
            <w:hideMark/>
          </w:tcPr>
          <w:p w14:paraId="1D4C4939" w14:textId="77777777" w:rsidR="00611AEA" w:rsidRPr="00097181" w:rsidRDefault="00611AEA" w:rsidP="00713C93">
            <w:r w:rsidRPr="00097181">
              <w:t>One-third of reef-building corals face elevated extinction risk from climate change and local impacts</w:t>
            </w:r>
          </w:p>
        </w:tc>
        <w:tc>
          <w:tcPr>
            <w:tcW w:w="4395" w:type="dxa"/>
            <w:shd w:val="clear" w:color="auto" w:fill="auto"/>
            <w:noWrap/>
            <w:hideMark/>
          </w:tcPr>
          <w:p w14:paraId="12A1C343" w14:textId="77777777" w:rsidR="00611AEA" w:rsidRPr="00097181" w:rsidRDefault="00611AEA" w:rsidP="00713C93">
            <w:pPr>
              <w:rPr>
                <w:lang w:val="es-EC"/>
              </w:rPr>
            </w:pPr>
            <w:r w:rsidRPr="00097181">
              <w:rPr>
                <w:lang w:val="es-EC"/>
              </w:rPr>
              <w:t xml:space="preserve">USA, Indonesia, Ecuador, Costa Rica, Australia, UK, </w:t>
            </w:r>
            <w:proofErr w:type="spellStart"/>
            <w:r w:rsidRPr="00097181">
              <w:rPr>
                <w:lang w:val="es-EC"/>
              </w:rPr>
              <w:t>Panama</w:t>
            </w:r>
            <w:proofErr w:type="spellEnd"/>
            <w:r w:rsidRPr="00097181">
              <w:rPr>
                <w:lang w:val="es-EC"/>
              </w:rPr>
              <w:t xml:space="preserve">, </w:t>
            </w:r>
            <w:proofErr w:type="spellStart"/>
            <w:r w:rsidRPr="00097181">
              <w:rPr>
                <w:lang w:val="es-EC"/>
              </w:rPr>
              <w:t>Netherlands</w:t>
            </w:r>
            <w:proofErr w:type="spellEnd"/>
            <w:r w:rsidRPr="00097181">
              <w:rPr>
                <w:lang w:val="es-EC"/>
              </w:rPr>
              <w:t xml:space="preserve">, </w:t>
            </w:r>
            <w:proofErr w:type="spellStart"/>
            <w:r w:rsidRPr="00097181">
              <w:rPr>
                <w:lang w:val="es-EC"/>
              </w:rPr>
              <w:t>Philippines</w:t>
            </w:r>
            <w:proofErr w:type="spellEnd"/>
            <w:r w:rsidRPr="00097181">
              <w:rPr>
                <w:lang w:val="es-EC"/>
              </w:rPr>
              <w:t xml:space="preserve">, </w:t>
            </w:r>
            <w:proofErr w:type="spellStart"/>
            <w:r w:rsidRPr="00097181">
              <w:rPr>
                <w:lang w:val="es-EC"/>
              </w:rPr>
              <w:t>Fiji</w:t>
            </w:r>
            <w:proofErr w:type="spellEnd"/>
            <w:r w:rsidRPr="00097181">
              <w:rPr>
                <w:lang w:val="es-EC"/>
              </w:rPr>
              <w:t xml:space="preserve">, </w:t>
            </w:r>
            <w:proofErr w:type="spellStart"/>
            <w:r w:rsidRPr="00097181">
              <w:rPr>
                <w:lang w:val="es-EC"/>
              </w:rPr>
              <w:t>Kenya</w:t>
            </w:r>
            <w:proofErr w:type="spellEnd"/>
          </w:p>
        </w:tc>
        <w:tc>
          <w:tcPr>
            <w:tcW w:w="2409" w:type="dxa"/>
            <w:shd w:val="clear" w:color="auto" w:fill="auto"/>
            <w:noWrap/>
            <w:hideMark/>
          </w:tcPr>
          <w:p w14:paraId="62CC939D" w14:textId="77777777" w:rsidR="00611AEA" w:rsidRPr="00097181" w:rsidRDefault="00611AEA" w:rsidP="00713C93">
            <w:r w:rsidRPr="00097181">
              <w:t>Carpenter et al. (2008)</w:t>
            </w:r>
          </w:p>
        </w:tc>
      </w:tr>
      <w:tr w:rsidR="00611AEA" w:rsidRPr="00097181" w14:paraId="472A12C8" w14:textId="77777777" w:rsidTr="001E0B61">
        <w:trPr>
          <w:trHeight w:val="997"/>
        </w:trPr>
        <w:tc>
          <w:tcPr>
            <w:tcW w:w="1133" w:type="dxa"/>
            <w:shd w:val="clear" w:color="auto" w:fill="auto"/>
            <w:noWrap/>
            <w:hideMark/>
          </w:tcPr>
          <w:p w14:paraId="2ADC13B9" w14:textId="77777777" w:rsidR="00611AEA" w:rsidRPr="00097181" w:rsidRDefault="00611AEA" w:rsidP="00713C93">
            <w:r w:rsidRPr="00097181">
              <w:t>9 (508)</w:t>
            </w:r>
          </w:p>
        </w:tc>
        <w:tc>
          <w:tcPr>
            <w:tcW w:w="1135" w:type="dxa"/>
            <w:shd w:val="clear" w:color="auto" w:fill="auto"/>
            <w:noWrap/>
            <w:hideMark/>
          </w:tcPr>
          <w:p w14:paraId="57ED6870" w14:textId="77777777" w:rsidR="00611AEA" w:rsidRPr="00097181" w:rsidRDefault="00611AEA" w:rsidP="00713C93">
            <w:r w:rsidRPr="00097181">
              <w:t>6 (127)</w:t>
            </w:r>
          </w:p>
        </w:tc>
        <w:tc>
          <w:tcPr>
            <w:tcW w:w="5670" w:type="dxa"/>
            <w:shd w:val="clear" w:color="auto" w:fill="auto"/>
            <w:noWrap/>
            <w:hideMark/>
          </w:tcPr>
          <w:p w14:paraId="49CC6E6C" w14:textId="77777777" w:rsidR="00611AEA" w:rsidRPr="00097181" w:rsidRDefault="00611AEA" w:rsidP="00713C93">
            <w:r w:rsidRPr="00097181">
              <w:t>Global human footprint on the linkage between biodiversity and ecosystem functioning in reef fishes</w:t>
            </w:r>
          </w:p>
        </w:tc>
        <w:tc>
          <w:tcPr>
            <w:tcW w:w="4395" w:type="dxa"/>
            <w:shd w:val="clear" w:color="auto" w:fill="auto"/>
            <w:noWrap/>
            <w:hideMark/>
          </w:tcPr>
          <w:p w14:paraId="42B507FD" w14:textId="77777777" w:rsidR="00611AEA" w:rsidRPr="00097181" w:rsidRDefault="00611AEA" w:rsidP="00713C93">
            <w:pPr>
              <w:rPr>
                <w:lang w:val="es-EC"/>
              </w:rPr>
            </w:pPr>
            <w:proofErr w:type="spellStart"/>
            <w:r w:rsidRPr="00097181">
              <w:rPr>
                <w:lang w:val="es-EC"/>
              </w:rPr>
              <w:t>Canada</w:t>
            </w:r>
            <w:proofErr w:type="spellEnd"/>
            <w:r w:rsidRPr="00097181">
              <w:rPr>
                <w:lang w:val="es-EC"/>
              </w:rPr>
              <w:t xml:space="preserve">, USA, </w:t>
            </w:r>
            <w:proofErr w:type="spellStart"/>
            <w:r w:rsidRPr="00097181">
              <w:rPr>
                <w:lang w:val="es-EC"/>
              </w:rPr>
              <w:t>Mexico</w:t>
            </w:r>
            <w:proofErr w:type="spellEnd"/>
            <w:r w:rsidRPr="00097181">
              <w:rPr>
                <w:lang w:val="es-EC"/>
              </w:rPr>
              <w:t xml:space="preserve">, Ecuador, Australia, Colombia, Israel, France, Costa Rica, Venezuela, </w:t>
            </w:r>
            <w:proofErr w:type="spellStart"/>
            <w:r w:rsidRPr="00097181">
              <w:rPr>
                <w:lang w:val="es-EC"/>
              </w:rPr>
              <w:t>Germany</w:t>
            </w:r>
            <w:proofErr w:type="spellEnd"/>
            <w:r w:rsidRPr="00097181">
              <w:rPr>
                <w:lang w:val="es-EC"/>
              </w:rPr>
              <w:t xml:space="preserve">, UK, </w:t>
            </w:r>
            <w:proofErr w:type="spellStart"/>
            <w:r w:rsidRPr="00097181">
              <w:rPr>
                <w:lang w:val="es-EC"/>
              </w:rPr>
              <w:t>Panama</w:t>
            </w:r>
            <w:proofErr w:type="spellEnd"/>
            <w:r w:rsidRPr="00097181">
              <w:rPr>
                <w:lang w:val="es-EC"/>
              </w:rPr>
              <w:t xml:space="preserve">, </w:t>
            </w:r>
            <w:proofErr w:type="spellStart"/>
            <w:r w:rsidRPr="00097181">
              <w:rPr>
                <w:lang w:val="es-EC"/>
              </w:rPr>
              <w:t>Papua</w:t>
            </w:r>
            <w:proofErr w:type="spellEnd"/>
            <w:r w:rsidRPr="00097181">
              <w:rPr>
                <w:lang w:val="es-EC"/>
              </w:rPr>
              <w:t xml:space="preserve"> N Guinea, </w:t>
            </w:r>
            <w:proofErr w:type="spellStart"/>
            <w:r w:rsidRPr="00097181">
              <w:rPr>
                <w:lang w:val="es-EC"/>
              </w:rPr>
              <w:t>Japan</w:t>
            </w:r>
            <w:proofErr w:type="spellEnd"/>
            <w:r w:rsidRPr="00097181">
              <w:rPr>
                <w:lang w:val="es-EC"/>
              </w:rPr>
              <w:t xml:space="preserve">, </w:t>
            </w:r>
            <w:proofErr w:type="spellStart"/>
            <w:r w:rsidRPr="00097181">
              <w:rPr>
                <w:lang w:val="es-EC"/>
              </w:rPr>
              <w:t>Spain</w:t>
            </w:r>
            <w:proofErr w:type="spellEnd"/>
            <w:r w:rsidRPr="00097181">
              <w:rPr>
                <w:lang w:val="es-EC"/>
              </w:rPr>
              <w:t>, Malaysia</w:t>
            </w:r>
          </w:p>
        </w:tc>
        <w:tc>
          <w:tcPr>
            <w:tcW w:w="2409" w:type="dxa"/>
            <w:shd w:val="clear" w:color="auto" w:fill="auto"/>
            <w:noWrap/>
            <w:hideMark/>
          </w:tcPr>
          <w:p w14:paraId="36005E2F" w14:textId="77777777" w:rsidR="00611AEA" w:rsidRPr="00097181" w:rsidRDefault="00611AEA" w:rsidP="00713C93">
            <w:r w:rsidRPr="00097181">
              <w:t>Mora et al. (2011)</w:t>
            </w:r>
          </w:p>
        </w:tc>
      </w:tr>
      <w:tr w:rsidR="00611AEA" w:rsidRPr="00097181" w14:paraId="66E10950" w14:textId="77777777" w:rsidTr="001E0B61">
        <w:trPr>
          <w:trHeight w:val="1975"/>
        </w:trPr>
        <w:tc>
          <w:tcPr>
            <w:tcW w:w="1133" w:type="dxa"/>
            <w:shd w:val="clear" w:color="auto" w:fill="auto"/>
            <w:noWrap/>
            <w:hideMark/>
          </w:tcPr>
          <w:p w14:paraId="341F571A" w14:textId="77777777" w:rsidR="00611AEA" w:rsidRPr="00097181" w:rsidRDefault="00611AEA" w:rsidP="00713C93">
            <w:r w:rsidRPr="00097181">
              <w:t>10 (495)</w:t>
            </w:r>
          </w:p>
        </w:tc>
        <w:tc>
          <w:tcPr>
            <w:tcW w:w="1135" w:type="dxa"/>
            <w:shd w:val="clear" w:color="auto" w:fill="auto"/>
            <w:noWrap/>
            <w:hideMark/>
          </w:tcPr>
          <w:p w14:paraId="315D4F1F" w14:textId="77777777" w:rsidR="00611AEA" w:rsidRPr="00097181" w:rsidRDefault="00611AEA" w:rsidP="00713C93">
            <w:r w:rsidRPr="00097181">
              <w:t>13 (83)</w:t>
            </w:r>
          </w:p>
        </w:tc>
        <w:tc>
          <w:tcPr>
            <w:tcW w:w="5670" w:type="dxa"/>
            <w:shd w:val="clear" w:color="auto" w:fill="auto"/>
            <w:noWrap/>
            <w:hideMark/>
          </w:tcPr>
          <w:p w14:paraId="63B12776" w14:textId="77777777" w:rsidR="00611AEA" w:rsidRPr="00097181" w:rsidRDefault="00611AEA" w:rsidP="00713C93">
            <w:r w:rsidRPr="00097181">
              <w:t>The impact of conservation on the status of the world’s vertebrates</w:t>
            </w:r>
          </w:p>
        </w:tc>
        <w:tc>
          <w:tcPr>
            <w:tcW w:w="4395" w:type="dxa"/>
            <w:shd w:val="clear" w:color="auto" w:fill="auto"/>
            <w:noWrap/>
            <w:hideMark/>
          </w:tcPr>
          <w:p w14:paraId="1E43B37C" w14:textId="77777777" w:rsidR="00611AEA" w:rsidRPr="00097181" w:rsidRDefault="00611AEA" w:rsidP="00713C93">
            <w:pPr>
              <w:rPr>
                <w:lang w:val="es-EC"/>
              </w:rPr>
            </w:pPr>
            <w:r w:rsidRPr="00097181">
              <w:rPr>
                <w:lang w:val="es-EC"/>
              </w:rPr>
              <w:t xml:space="preserve">UK, USA, </w:t>
            </w:r>
            <w:proofErr w:type="spellStart"/>
            <w:r w:rsidRPr="00097181">
              <w:rPr>
                <w:lang w:val="es-EC"/>
              </w:rPr>
              <w:t>Canada</w:t>
            </w:r>
            <w:proofErr w:type="spellEnd"/>
            <w:r w:rsidRPr="00097181">
              <w:rPr>
                <w:lang w:val="es-EC"/>
              </w:rPr>
              <w:t xml:space="preserve">, </w:t>
            </w:r>
            <w:proofErr w:type="spellStart"/>
            <w:r w:rsidRPr="00097181">
              <w:rPr>
                <w:lang w:val="es-EC"/>
              </w:rPr>
              <w:t>Switzerland</w:t>
            </w:r>
            <w:proofErr w:type="spellEnd"/>
            <w:r w:rsidRPr="00097181">
              <w:rPr>
                <w:lang w:val="es-EC"/>
              </w:rPr>
              <w:t xml:space="preserve">, </w:t>
            </w:r>
            <w:proofErr w:type="spellStart"/>
            <w:r w:rsidRPr="00097181">
              <w:rPr>
                <w:lang w:val="es-EC"/>
              </w:rPr>
              <w:t>Philippines</w:t>
            </w:r>
            <w:proofErr w:type="spellEnd"/>
            <w:r w:rsidRPr="00097181">
              <w:rPr>
                <w:lang w:val="es-EC"/>
              </w:rPr>
              <w:t xml:space="preserve">, Australia, India, France, Argentina, </w:t>
            </w:r>
            <w:proofErr w:type="spellStart"/>
            <w:r w:rsidRPr="00097181">
              <w:rPr>
                <w:lang w:val="es-EC"/>
              </w:rPr>
              <w:t>Italy</w:t>
            </w:r>
            <w:proofErr w:type="spellEnd"/>
            <w:r w:rsidRPr="00097181">
              <w:rPr>
                <w:lang w:val="es-EC"/>
              </w:rPr>
              <w:t xml:space="preserve">, </w:t>
            </w:r>
            <w:proofErr w:type="spellStart"/>
            <w:r w:rsidRPr="00097181">
              <w:rPr>
                <w:lang w:val="es-EC"/>
              </w:rPr>
              <w:t>Russia</w:t>
            </w:r>
            <w:proofErr w:type="spellEnd"/>
            <w:r w:rsidRPr="00097181">
              <w:rPr>
                <w:lang w:val="es-EC"/>
              </w:rPr>
              <w:t xml:space="preserve">, New </w:t>
            </w:r>
            <w:proofErr w:type="spellStart"/>
            <w:r w:rsidRPr="00097181">
              <w:rPr>
                <w:lang w:val="es-EC"/>
              </w:rPr>
              <w:t>Zealand</w:t>
            </w:r>
            <w:proofErr w:type="spellEnd"/>
            <w:r w:rsidRPr="00097181">
              <w:rPr>
                <w:lang w:val="es-EC"/>
              </w:rPr>
              <w:t xml:space="preserve">, Indonesia, Costa Rica, Colombia, South </w:t>
            </w:r>
            <w:proofErr w:type="spellStart"/>
            <w:r w:rsidRPr="00097181">
              <w:rPr>
                <w:lang w:val="es-EC"/>
              </w:rPr>
              <w:t>Africa</w:t>
            </w:r>
            <w:proofErr w:type="spellEnd"/>
            <w:r w:rsidRPr="00097181">
              <w:rPr>
                <w:lang w:val="es-EC"/>
              </w:rPr>
              <w:t xml:space="preserve">, </w:t>
            </w:r>
            <w:proofErr w:type="spellStart"/>
            <w:r w:rsidRPr="00097181">
              <w:rPr>
                <w:lang w:val="es-EC"/>
              </w:rPr>
              <w:t>Brazil</w:t>
            </w:r>
            <w:proofErr w:type="spellEnd"/>
            <w:r w:rsidRPr="00097181">
              <w:rPr>
                <w:lang w:val="es-EC"/>
              </w:rPr>
              <w:t xml:space="preserve">, </w:t>
            </w:r>
            <w:proofErr w:type="spellStart"/>
            <w:r w:rsidRPr="00097181">
              <w:rPr>
                <w:lang w:val="es-EC"/>
              </w:rPr>
              <w:t>Taiwan</w:t>
            </w:r>
            <w:proofErr w:type="spellEnd"/>
            <w:r w:rsidRPr="00097181">
              <w:rPr>
                <w:lang w:val="es-EC"/>
              </w:rPr>
              <w:t xml:space="preserve">, </w:t>
            </w:r>
            <w:proofErr w:type="spellStart"/>
            <w:r w:rsidRPr="00097181">
              <w:rPr>
                <w:lang w:val="es-EC"/>
              </w:rPr>
              <w:t>Germany</w:t>
            </w:r>
            <w:proofErr w:type="spellEnd"/>
            <w:r w:rsidRPr="00097181">
              <w:rPr>
                <w:lang w:val="es-EC"/>
              </w:rPr>
              <w:t xml:space="preserve">, </w:t>
            </w:r>
            <w:proofErr w:type="spellStart"/>
            <w:r w:rsidRPr="00097181">
              <w:rPr>
                <w:lang w:val="es-EC"/>
              </w:rPr>
              <w:t>Japan</w:t>
            </w:r>
            <w:proofErr w:type="spellEnd"/>
            <w:r w:rsidRPr="00097181">
              <w:rPr>
                <w:lang w:val="es-EC"/>
              </w:rPr>
              <w:t xml:space="preserve">, Madagascar, </w:t>
            </w:r>
            <w:proofErr w:type="spellStart"/>
            <w:r w:rsidRPr="00097181">
              <w:rPr>
                <w:lang w:val="es-EC"/>
              </w:rPr>
              <w:t>Singapore</w:t>
            </w:r>
            <w:proofErr w:type="spellEnd"/>
            <w:r w:rsidRPr="00097181">
              <w:rPr>
                <w:lang w:val="es-EC"/>
              </w:rPr>
              <w:t xml:space="preserve">, </w:t>
            </w:r>
            <w:proofErr w:type="spellStart"/>
            <w:r w:rsidRPr="00097181">
              <w:rPr>
                <w:lang w:val="es-EC"/>
              </w:rPr>
              <w:t>Norway</w:t>
            </w:r>
            <w:proofErr w:type="spellEnd"/>
            <w:r w:rsidRPr="00097181">
              <w:rPr>
                <w:lang w:val="es-EC"/>
              </w:rPr>
              <w:t xml:space="preserve">, Venezuela, China, </w:t>
            </w:r>
            <w:proofErr w:type="spellStart"/>
            <w:r w:rsidRPr="00097181">
              <w:rPr>
                <w:lang w:val="es-EC"/>
              </w:rPr>
              <w:t>Belgium</w:t>
            </w:r>
            <w:proofErr w:type="spellEnd"/>
            <w:r w:rsidRPr="00097181">
              <w:rPr>
                <w:lang w:val="es-EC"/>
              </w:rPr>
              <w:t xml:space="preserve">, Tanzania, </w:t>
            </w:r>
            <w:proofErr w:type="spellStart"/>
            <w:r w:rsidRPr="00097181">
              <w:rPr>
                <w:lang w:val="es-EC"/>
              </w:rPr>
              <w:t>Mexico</w:t>
            </w:r>
            <w:proofErr w:type="spellEnd"/>
            <w:r w:rsidRPr="00097181">
              <w:rPr>
                <w:lang w:val="es-EC"/>
              </w:rPr>
              <w:t xml:space="preserve">, </w:t>
            </w:r>
            <w:proofErr w:type="spellStart"/>
            <w:r w:rsidRPr="00097181">
              <w:rPr>
                <w:lang w:val="es-EC"/>
              </w:rPr>
              <w:t>Poland</w:t>
            </w:r>
            <w:proofErr w:type="spellEnd"/>
            <w:r w:rsidRPr="00097181">
              <w:rPr>
                <w:lang w:val="es-EC"/>
              </w:rPr>
              <w:t xml:space="preserve">, </w:t>
            </w:r>
            <w:proofErr w:type="spellStart"/>
            <w:r w:rsidRPr="00097181">
              <w:rPr>
                <w:lang w:val="es-EC"/>
              </w:rPr>
              <w:t>Iran</w:t>
            </w:r>
            <w:proofErr w:type="spellEnd"/>
            <w:r w:rsidRPr="00097181">
              <w:rPr>
                <w:lang w:val="es-EC"/>
              </w:rPr>
              <w:t xml:space="preserve">, </w:t>
            </w:r>
            <w:proofErr w:type="spellStart"/>
            <w:r w:rsidRPr="00097181">
              <w:rPr>
                <w:lang w:val="es-EC"/>
              </w:rPr>
              <w:t>Peru</w:t>
            </w:r>
            <w:proofErr w:type="spellEnd"/>
            <w:r w:rsidRPr="00097181">
              <w:rPr>
                <w:lang w:val="es-EC"/>
              </w:rPr>
              <w:t xml:space="preserve">, Ecuador, South </w:t>
            </w:r>
            <w:proofErr w:type="spellStart"/>
            <w:r w:rsidRPr="00097181">
              <w:rPr>
                <w:lang w:val="es-EC"/>
              </w:rPr>
              <w:t>Korea</w:t>
            </w:r>
            <w:proofErr w:type="spellEnd"/>
            <w:r w:rsidRPr="00097181">
              <w:rPr>
                <w:lang w:val="es-EC"/>
              </w:rPr>
              <w:t xml:space="preserve">, Chile, </w:t>
            </w:r>
            <w:proofErr w:type="spellStart"/>
            <w:r w:rsidRPr="00097181">
              <w:rPr>
                <w:lang w:val="es-EC"/>
              </w:rPr>
              <w:t>Kenya</w:t>
            </w:r>
            <w:proofErr w:type="spellEnd"/>
            <w:r w:rsidRPr="00097181">
              <w:rPr>
                <w:lang w:val="es-EC"/>
              </w:rPr>
              <w:t xml:space="preserve">, U </w:t>
            </w:r>
            <w:proofErr w:type="spellStart"/>
            <w:r w:rsidRPr="00097181">
              <w:rPr>
                <w:lang w:val="es-EC"/>
              </w:rPr>
              <w:t>Arab</w:t>
            </w:r>
            <w:proofErr w:type="spellEnd"/>
            <w:r w:rsidRPr="00097181">
              <w:rPr>
                <w:lang w:val="es-EC"/>
              </w:rPr>
              <w:t xml:space="preserve"> </w:t>
            </w:r>
            <w:proofErr w:type="spellStart"/>
            <w:r w:rsidRPr="00097181">
              <w:rPr>
                <w:lang w:val="es-EC"/>
              </w:rPr>
              <w:t>Emirates</w:t>
            </w:r>
            <w:proofErr w:type="spellEnd"/>
          </w:p>
        </w:tc>
        <w:tc>
          <w:tcPr>
            <w:tcW w:w="2409" w:type="dxa"/>
            <w:shd w:val="clear" w:color="auto" w:fill="auto"/>
            <w:noWrap/>
            <w:hideMark/>
          </w:tcPr>
          <w:p w14:paraId="264958D1" w14:textId="77777777" w:rsidR="00611AEA" w:rsidRPr="00097181" w:rsidRDefault="00611AEA" w:rsidP="00713C93">
            <w:r w:rsidRPr="00097181">
              <w:t>Hoffmann et al. (2010)</w:t>
            </w:r>
          </w:p>
        </w:tc>
      </w:tr>
      <w:tr w:rsidR="00611AEA" w:rsidRPr="00097181" w14:paraId="3215CFDD" w14:textId="77777777" w:rsidTr="001E0B61">
        <w:trPr>
          <w:trHeight w:val="1005"/>
        </w:trPr>
        <w:tc>
          <w:tcPr>
            <w:tcW w:w="1133" w:type="dxa"/>
            <w:shd w:val="clear" w:color="auto" w:fill="auto"/>
            <w:noWrap/>
            <w:hideMark/>
          </w:tcPr>
          <w:p w14:paraId="622F3586" w14:textId="77777777" w:rsidR="00611AEA" w:rsidRPr="00097181" w:rsidRDefault="00611AEA" w:rsidP="00713C93">
            <w:r w:rsidRPr="00097181">
              <w:t>11 (490)</w:t>
            </w:r>
          </w:p>
        </w:tc>
        <w:tc>
          <w:tcPr>
            <w:tcW w:w="1135" w:type="dxa"/>
            <w:shd w:val="clear" w:color="auto" w:fill="auto"/>
            <w:noWrap/>
            <w:hideMark/>
          </w:tcPr>
          <w:p w14:paraId="4825525C" w14:textId="77777777" w:rsidR="00611AEA" w:rsidRPr="00097181" w:rsidRDefault="00611AEA" w:rsidP="00713C93">
            <w:r w:rsidRPr="00097181">
              <w:t>592 (6)</w:t>
            </w:r>
          </w:p>
        </w:tc>
        <w:tc>
          <w:tcPr>
            <w:tcW w:w="5670" w:type="dxa"/>
            <w:shd w:val="clear" w:color="auto" w:fill="auto"/>
            <w:noWrap/>
            <w:hideMark/>
          </w:tcPr>
          <w:p w14:paraId="5AD576DA" w14:textId="77777777" w:rsidR="00611AEA" w:rsidRPr="00097181" w:rsidRDefault="00611AEA" w:rsidP="00713C93">
            <w:r w:rsidRPr="00097181">
              <w:t>The upgraded DO detector</w:t>
            </w:r>
          </w:p>
        </w:tc>
        <w:tc>
          <w:tcPr>
            <w:tcW w:w="4395" w:type="dxa"/>
            <w:shd w:val="clear" w:color="auto" w:fill="auto"/>
            <w:noWrap/>
            <w:hideMark/>
          </w:tcPr>
          <w:p w14:paraId="4A3D6475" w14:textId="77777777" w:rsidR="00611AEA" w:rsidRPr="00097181" w:rsidRDefault="00611AEA" w:rsidP="00713C93">
            <w:r w:rsidRPr="00097181">
              <w:t xml:space="preserve">Argentina, Brazil, Canada, China, Colombia, Czech Republic, Ecuador, France, Germany, India, Ireland, South Korea, Mexico, Netherlands, Russia, Sweden, UK, USA, </w:t>
            </w:r>
            <w:proofErr w:type="spellStart"/>
            <w:r w:rsidRPr="00097181">
              <w:t>Byelarus</w:t>
            </w:r>
            <w:proofErr w:type="spellEnd"/>
            <w:r w:rsidRPr="00097181">
              <w:t>, Poland, Switzerland</w:t>
            </w:r>
          </w:p>
        </w:tc>
        <w:tc>
          <w:tcPr>
            <w:tcW w:w="2409" w:type="dxa"/>
            <w:shd w:val="clear" w:color="auto" w:fill="auto"/>
            <w:noWrap/>
            <w:hideMark/>
          </w:tcPr>
          <w:p w14:paraId="3043BF7C" w14:textId="77777777" w:rsidR="00611AEA" w:rsidRPr="00097181" w:rsidRDefault="00611AEA" w:rsidP="00713C93">
            <w:proofErr w:type="spellStart"/>
            <w:r w:rsidRPr="00097181">
              <w:t>Abazov</w:t>
            </w:r>
            <w:proofErr w:type="spellEnd"/>
            <w:r w:rsidRPr="00097181">
              <w:t xml:space="preserve"> et al. (2006)</w:t>
            </w:r>
          </w:p>
        </w:tc>
      </w:tr>
      <w:tr w:rsidR="00611AEA" w:rsidRPr="00097181" w14:paraId="3E3BB33E" w14:textId="77777777" w:rsidTr="001E0B61">
        <w:trPr>
          <w:trHeight w:val="552"/>
        </w:trPr>
        <w:tc>
          <w:tcPr>
            <w:tcW w:w="1133" w:type="dxa"/>
            <w:shd w:val="clear" w:color="auto" w:fill="auto"/>
            <w:noWrap/>
            <w:hideMark/>
          </w:tcPr>
          <w:p w14:paraId="09D426A2" w14:textId="77777777" w:rsidR="00611AEA" w:rsidRPr="00097181" w:rsidRDefault="00611AEA" w:rsidP="00713C93">
            <w:r w:rsidRPr="00097181">
              <w:t>12 (489)</w:t>
            </w:r>
          </w:p>
        </w:tc>
        <w:tc>
          <w:tcPr>
            <w:tcW w:w="1135" w:type="dxa"/>
            <w:shd w:val="clear" w:color="auto" w:fill="auto"/>
            <w:noWrap/>
            <w:hideMark/>
          </w:tcPr>
          <w:p w14:paraId="2ADAC40F" w14:textId="77777777" w:rsidR="00611AEA" w:rsidRPr="00097181" w:rsidRDefault="00611AEA" w:rsidP="00713C93">
            <w:r w:rsidRPr="00097181">
              <w:t>31 (48)</w:t>
            </w:r>
          </w:p>
        </w:tc>
        <w:tc>
          <w:tcPr>
            <w:tcW w:w="5670" w:type="dxa"/>
            <w:shd w:val="clear" w:color="auto" w:fill="auto"/>
            <w:noWrap/>
            <w:hideMark/>
          </w:tcPr>
          <w:p w14:paraId="25A03790" w14:textId="77777777" w:rsidR="00611AEA" w:rsidRPr="00097181" w:rsidRDefault="00611AEA" w:rsidP="00713C93">
            <w:r w:rsidRPr="00097181">
              <w:t>Comparative evaluation of 11 essential oils of different origin as functional antioxidants, antiradicals and antimicrobials in foods</w:t>
            </w:r>
          </w:p>
        </w:tc>
        <w:tc>
          <w:tcPr>
            <w:tcW w:w="4395" w:type="dxa"/>
            <w:shd w:val="clear" w:color="auto" w:fill="auto"/>
            <w:noWrap/>
            <w:hideMark/>
          </w:tcPr>
          <w:p w14:paraId="0E804710" w14:textId="77777777" w:rsidR="00611AEA" w:rsidRPr="00097181" w:rsidRDefault="00611AEA" w:rsidP="00713C93">
            <w:r w:rsidRPr="00097181">
              <w:t>Italy, Ecuador</w:t>
            </w:r>
          </w:p>
        </w:tc>
        <w:tc>
          <w:tcPr>
            <w:tcW w:w="2409" w:type="dxa"/>
            <w:shd w:val="clear" w:color="auto" w:fill="auto"/>
            <w:noWrap/>
            <w:hideMark/>
          </w:tcPr>
          <w:p w14:paraId="6A32E9AE" w14:textId="77777777" w:rsidR="00611AEA" w:rsidRPr="00097181" w:rsidRDefault="00611AEA" w:rsidP="00713C93">
            <w:proofErr w:type="spellStart"/>
            <w:r w:rsidRPr="00097181">
              <w:t>Sacchetti</w:t>
            </w:r>
            <w:proofErr w:type="spellEnd"/>
            <w:r w:rsidRPr="00097181">
              <w:t xml:space="preserve"> et al. (2005)</w:t>
            </w:r>
          </w:p>
        </w:tc>
      </w:tr>
      <w:tr w:rsidR="00611AEA" w:rsidRPr="00097181" w14:paraId="5FF85FF0" w14:textId="77777777" w:rsidTr="001E0B61">
        <w:trPr>
          <w:trHeight w:val="2416"/>
        </w:trPr>
        <w:tc>
          <w:tcPr>
            <w:tcW w:w="1133" w:type="dxa"/>
            <w:shd w:val="clear" w:color="auto" w:fill="auto"/>
            <w:noWrap/>
            <w:hideMark/>
          </w:tcPr>
          <w:p w14:paraId="1358351B" w14:textId="77777777" w:rsidR="00611AEA" w:rsidRPr="00097181" w:rsidRDefault="00611AEA" w:rsidP="00713C93">
            <w:r w:rsidRPr="00097181">
              <w:t>13 (468)</w:t>
            </w:r>
          </w:p>
        </w:tc>
        <w:tc>
          <w:tcPr>
            <w:tcW w:w="1135" w:type="dxa"/>
            <w:shd w:val="clear" w:color="auto" w:fill="auto"/>
            <w:noWrap/>
            <w:hideMark/>
          </w:tcPr>
          <w:p w14:paraId="39FA0FA5" w14:textId="77777777" w:rsidR="00611AEA" w:rsidRPr="00097181" w:rsidRDefault="00611AEA" w:rsidP="00713C93">
            <w:r w:rsidRPr="00097181">
              <w:t>43 (38)</w:t>
            </w:r>
          </w:p>
        </w:tc>
        <w:tc>
          <w:tcPr>
            <w:tcW w:w="5670" w:type="dxa"/>
            <w:shd w:val="clear" w:color="auto" w:fill="auto"/>
            <w:noWrap/>
            <w:hideMark/>
          </w:tcPr>
          <w:p w14:paraId="493707AE" w14:textId="77777777" w:rsidR="00611AEA" w:rsidRPr="00097181" w:rsidRDefault="00611AEA" w:rsidP="00713C93">
            <w:r w:rsidRPr="00097181">
              <w:t xml:space="preserve">Effect of intravenous corticosteroids on death within 14 days in 10008 adults with clinically significant head injury (MRC CRASH trial): </w:t>
            </w:r>
            <w:proofErr w:type="spellStart"/>
            <w:r w:rsidRPr="00097181">
              <w:t>Randomised</w:t>
            </w:r>
            <w:proofErr w:type="spellEnd"/>
            <w:r w:rsidRPr="00097181">
              <w:t xml:space="preserve"> placebo-controlled trial</w:t>
            </w:r>
          </w:p>
        </w:tc>
        <w:tc>
          <w:tcPr>
            <w:tcW w:w="4395" w:type="dxa"/>
            <w:shd w:val="clear" w:color="auto" w:fill="auto"/>
            <w:noWrap/>
            <w:hideMark/>
          </w:tcPr>
          <w:p w14:paraId="5F2E76C6" w14:textId="77777777" w:rsidR="00611AEA" w:rsidRPr="00097181" w:rsidRDefault="00611AEA" w:rsidP="00713C93">
            <w:r w:rsidRPr="00097181">
              <w:t>UK, Albania, Argentina, Australia, Austria, Belgium, Brazil, Chile, China, Colombia, Mexico, Cuba, Czech Republic, Ecuador, Egypt, Rep of Georgia, Germany, Ghana, Greece, India, Indonesia, Iran, Ireland, Italy, Cote Ivoire, Kenya, Malaysia, New Zealand, Nigeria, Pakistan, Panama, Paraguay, Peru, Romania, Saudi Arabia, Serbia, Singapore, Slovakia, South Africa, Spain, Sri Lanka, France, Switzerland, Thailand, Tunisia, Turkey, Uganda</w:t>
            </w:r>
          </w:p>
        </w:tc>
        <w:tc>
          <w:tcPr>
            <w:tcW w:w="2409" w:type="dxa"/>
            <w:shd w:val="clear" w:color="auto" w:fill="auto"/>
            <w:noWrap/>
            <w:hideMark/>
          </w:tcPr>
          <w:p w14:paraId="148F7E99" w14:textId="77777777" w:rsidR="00611AEA" w:rsidRPr="00097181" w:rsidRDefault="00611AEA" w:rsidP="00713C93">
            <w:proofErr w:type="spellStart"/>
            <w:r w:rsidRPr="00097181">
              <w:t>Muzha</w:t>
            </w:r>
            <w:proofErr w:type="spellEnd"/>
            <w:r w:rsidRPr="00097181">
              <w:t xml:space="preserve"> et al. (2004)</w:t>
            </w:r>
          </w:p>
        </w:tc>
      </w:tr>
    </w:tbl>
    <w:p w14:paraId="56856868" w14:textId="77777777" w:rsidR="00611AEA" w:rsidRPr="00097181" w:rsidRDefault="00611AEA" w:rsidP="00713C93"/>
    <w:p w14:paraId="7FA71538" w14:textId="564A61D3" w:rsidR="00611AEA" w:rsidRPr="00097181" w:rsidRDefault="00611AEA" w:rsidP="00713C93">
      <w:pPr>
        <w:sectPr w:rsidR="00611AEA" w:rsidRPr="00097181" w:rsidSect="00611AEA">
          <w:pgSz w:w="16840" w:h="11907" w:orient="landscape" w:code="9"/>
          <w:pgMar w:top="1134" w:right="1134" w:bottom="1134" w:left="1134" w:header="720" w:footer="720" w:gutter="0"/>
          <w:cols w:space="720"/>
          <w:noEndnote/>
          <w:docGrid w:linePitch="381"/>
        </w:sectPr>
      </w:pPr>
      <w:r w:rsidRPr="00097181">
        <w:rPr>
          <w:i/>
        </w:rPr>
        <w:t>TC</w:t>
      </w:r>
      <w:r w:rsidRPr="00097181">
        <w:rPr>
          <w:vertAlign w:val="subscript"/>
        </w:rPr>
        <w:t>2017</w:t>
      </w:r>
      <w:r w:rsidRPr="00097181">
        <w:t xml:space="preserve">: number of citations since publication to the end of 2017 from Web of Science Core Collection; </w:t>
      </w:r>
      <w:r w:rsidRPr="00097181">
        <w:rPr>
          <w:i/>
        </w:rPr>
        <w:t>C</w:t>
      </w:r>
      <w:r w:rsidRPr="00097181">
        <w:rPr>
          <w:vertAlign w:val="subscript"/>
        </w:rPr>
        <w:t>2017</w:t>
      </w:r>
      <w:r w:rsidRPr="00097181">
        <w:t>: number of citations in 2017 only.</w:t>
      </w:r>
      <w:r w:rsidRPr="00097181">
        <w:br w:type="page"/>
      </w:r>
    </w:p>
    <w:p w14:paraId="417B954F" w14:textId="77777777" w:rsidR="00C922F7" w:rsidRPr="00097181" w:rsidRDefault="00C922F7" w:rsidP="006878A4"/>
    <w:p w14:paraId="3D1BC4A7" w14:textId="501C0818" w:rsidR="00C922F7" w:rsidRPr="00097181" w:rsidRDefault="00C922F7" w:rsidP="006878A4">
      <w:pPr>
        <w:jc w:val="center"/>
      </w:pPr>
      <w:r w:rsidRPr="00097181">
        <w:t xml:space="preserve">TABLE </w:t>
      </w:r>
      <w:r w:rsidR="00611AEA" w:rsidRPr="00097181">
        <w:t>4</w:t>
      </w:r>
    </w:p>
    <w:p w14:paraId="6D54030C" w14:textId="0EFEC589" w:rsidR="00C922F7" w:rsidRDefault="00C922F7" w:rsidP="006878A4">
      <w:pPr>
        <w:jc w:val="center"/>
      </w:pPr>
      <w:r w:rsidRPr="00097181">
        <w:t>Top 20 most collaborative countries</w:t>
      </w:r>
    </w:p>
    <w:p w14:paraId="5EECD7EF" w14:textId="77777777" w:rsidR="006878A4" w:rsidRPr="00097181" w:rsidRDefault="006878A4" w:rsidP="006878A4">
      <w:pPr>
        <w:jc w:val="center"/>
      </w:pPr>
    </w:p>
    <w:tbl>
      <w:tblPr>
        <w:tblW w:w="5000" w:type="pct"/>
        <w:tblLook w:val="04A0" w:firstRow="1" w:lastRow="0" w:firstColumn="1" w:lastColumn="0" w:noHBand="0" w:noVBand="1"/>
      </w:tblPr>
      <w:tblGrid>
        <w:gridCol w:w="2355"/>
        <w:gridCol w:w="942"/>
        <w:gridCol w:w="1536"/>
        <w:gridCol w:w="1644"/>
        <w:gridCol w:w="1644"/>
        <w:gridCol w:w="1517"/>
      </w:tblGrid>
      <w:tr w:rsidR="00C922F7" w:rsidRPr="00097181" w14:paraId="4E4BD9E5" w14:textId="77777777" w:rsidTr="001E0B61">
        <w:trPr>
          <w:trHeight w:val="315"/>
        </w:trPr>
        <w:tc>
          <w:tcPr>
            <w:tcW w:w="1221" w:type="pct"/>
            <w:shd w:val="clear" w:color="auto" w:fill="D9D9D9" w:themeFill="background1" w:themeFillShade="D9"/>
            <w:noWrap/>
            <w:hideMark/>
          </w:tcPr>
          <w:p w14:paraId="4B05CF08" w14:textId="77777777" w:rsidR="00C922F7" w:rsidRPr="00097181" w:rsidRDefault="00C922F7" w:rsidP="00713C93">
            <w:r w:rsidRPr="00097181">
              <w:t>Country</w:t>
            </w:r>
          </w:p>
        </w:tc>
        <w:tc>
          <w:tcPr>
            <w:tcW w:w="488" w:type="pct"/>
            <w:shd w:val="clear" w:color="auto" w:fill="D9D9D9" w:themeFill="background1" w:themeFillShade="D9"/>
            <w:noWrap/>
            <w:hideMark/>
          </w:tcPr>
          <w:p w14:paraId="38E4407F" w14:textId="77777777" w:rsidR="00C922F7" w:rsidRPr="00097181" w:rsidRDefault="00C922F7" w:rsidP="00713C93">
            <w:r w:rsidRPr="00097181">
              <w:t>TP</w:t>
            </w:r>
          </w:p>
        </w:tc>
        <w:tc>
          <w:tcPr>
            <w:tcW w:w="797" w:type="pct"/>
            <w:shd w:val="clear" w:color="auto" w:fill="D9D9D9" w:themeFill="background1" w:themeFillShade="D9"/>
            <w:noWrap/>
            <w:hideMark/>
          </w:tcPr>
          <w:p w14:paraId="278B12C4" w14:textId="77777777" w:rsidR="00C922F7" w:rsidRPr="00097181" w:rsidRDefault="00C922F7" w:rsidP="00713C93">
            <w:r w:rsidRPr="00097181">
              <w:rPr>
                <w:i/>
              </w:rPr>
              <w:t>TPR</w:t>
            </w:r>
            <w:r w:rsidRPr="00097181">
              <w:t xml:space="preserve"> (%)</w:t>
            </w:r>
          </w:p>
        </w:tc>
        <w:tc>
          <w:tcPr>
            <w:tcW w:w="853" w:type="pct"/>
            <w:shd w:val="clear" w:color="auto" w:fill="D9D9D9" w:themeFill="background1" w:themeFillShade="D9"/>
            <w:noWrap/>
            <w:hideMark/>
          </w:tcPr>
          <w:p w14:paraId="1D5BBFBF" w14:textId="77777777" w:rsidR="00C922F7" w:rsidRPr="00097181" w:rsidRDefault="00C922F7" w:rsidP="00713C93">
            <w:r w:rsidRPr="00097181">
              <w:rPr>
                <w:i/>
              </w:rPr>
              <w:t>FPR</w:t>
            </w:r>
            <w:r w:rsidRPr="00097181">
              <w:t xml:space="preserve"> (%)</w:t>
            </w:r>
          </w:p>
        </w:tc>
        <w:tc>
          <w:tcPr>
            <w:tcW w:w="853" w:type="pct"/>
            <w:shd w:val="clear" w:color="auto" w:fill="D9D9D9" w:themeFill="background1" w:themeFillShade="D9"/>
            <w:noWrap/>
            <w:hideMark/>
          </w:tcPr>
          <w:p w14:paraId="63D7D45B" w14:textId="77777777" w:rsidR="00C922F7" w:rsidRPr="00097181" w:rsidRDefault="00C922F7" w:rsidP="00713C93">
            <w:r w:rsidRPr="00097181">
              <w:rPr>
                <w:i/>
              </w:rPr>
              <w:t>RPR</w:t>
            </w:r>
            <w:r w:rsidRPr="00097181">
              <w:t xml:space="preserve"> (%)</w:t>
            </w:r>
          </w:p>
        </w:tc>
        <w:tc>
          <w:tcPr>
            <w:tcW w:w="787" w:type="pct"/>
            <w:shd w:val="clear" w:color="auto" w:fill="D9D9D9" w:themeFill="background1" w:themeFillShade="D9"/>
            <w:noWrap/>
            <w:hideMark/>
          </w:tcPr>
          <w:p w14:paraId="69FA9C52" w14:textId="77777777" w:rsidR="00C922F7" w:rsidRPr="00097181" w:rsidRDefault="00C922F7" w:rsidP="00713C93">
            <w:r w:rsidRPr="00097181">
              <w:rPr>
                <w:i/>
              </w:rPr>
              <w:t>CPP</w:t>
            </w:r>
            <w:r w:rsidRPr="00097181">
              <w:rPr>
                <w:vertAlign w:val="subscript"/>
              </w:rPr>
              <w:t>2017</w:t>
            </w:r>
          </w:p>
        </w:tc>
      </w:tr>
      <w:tr w:rsidR="00C922F7" w:rsidRPr="00097181" w14:paraId="70214EF2" w14:textId="77777777" w:rsidTr="001E0B61">
        <w:trPr>
          <w:trHeight w:val="315"/>
        </w:trPr>
        <w:tc>
          <w:tcPr>
            <w:tcW w:w="1221" w:type="pct"/>
            <w:shd w:val="clear" w:color="auto" w:fill="auto"/>
            <w:noWrap/>
            <w:hideMark/>
          </w:tcPr>
          <w:p w14:paraId="4EF2F371" w14:textId="77777777" w:rsidR="00C922F7" w:rsidRPr="00097181" w:rsidRDefault="00C922F7" w:rsidP="00713C93">
            <w:r w:rsidRPr="00097181">
              <w:t>USA</w:t>
            </w:r>
          </w:p>
        </w:tc>
        <w:tc>
          <w:tcPr>
            <w:tcW w:w="488" w:type="pct"/>
            <w:shd w:val="clear" w:color="auto" w:fill="auto"/>
            <w:noWrap/>
            <w:hideMark/>
          </w:tcPr>
          <w:p w14:paraId="59721A4E" w14:textId="77777777" w:rsidR="00C922F7" w:rsidRPr="00097181" w:rsidRDefault="00C922F7" w:rsidP="00713C93">
            <w:r w:rsidRPr="00097181">
              <w:t>2 872</w:t>
            </w:r>
          </w:p>
        </w:tc>
        <w:tc>
          <w:tcPr>
            <w:tcW w:w="797" w:type="pct"/>
            <w:shd w:val="clear" w:color="auto" w:fill="auto"/>
            <w:noWrap/>
            <w:hideMark/>
          </w:tcPr>
          <w:p w14:paraId="0967FD87" w14:textId="77777777" w:rsidR="00C922F7" w:rsidRPr="00097181" w:rsidRDefault="00C922F7" w:rsidP="00713C93">
            <w:r w:rsidRPr="00097181">
              <w:t>1 (37)</w:t>
            </w:r>
          </w:p>
        </w:tc>
        <w:tc>
          <w:tcPr>
            <w:tcW w:w="853" w:type="pct"/>
            <w:shd w:val="clear" w:color="auto" w:fill="auto"/>
            <w:noWrap/>
            <w:hideMark/>
          </w:tcPr>
          <w:p w14:paraId="7575D9B0" w14:textId="77777777" w:rsidR="00C922F7" w:rsidRPr="00097181" w:rsidRDefault="00C922F7" w:rsidP="00713C93">
            <w:r w:rsidRPr="00097181">
              <w:t>1 (17)</w:t>
            </w:r>
          </w:p>
        </w:tc>
        <w:tc>
          <w:tcPr>
            <w:tcW w:w="853" w:type="pct"/>
            <w:shd w:val="clear" w:color="auto" w:fill="auto"/>
            <w:noWrap/>
            <w:hideMark/>
          </w:tcPr>
          <w:p w14:paraId="452D373D" w14:textId="77777777" w:rsidR="00C922F7" w:rsidRPr="00097181" w:rsidRDefault="00C922F7" w:rsidP="00713C93">
            <w:r w:rsidRPr="00097181">
              <w:t>1 (17)</w:t>
            </w:r>
          </w:p>
        </w:tc>
        <w:tc>
          <w:tcPr>
            <w:tcW w:w="787" w:type="pct"/>
            <w:shd w:val="clear" w:color="auto" w:fill="auto"/>
            <w:noWrap/>
            <w:hideMark/>
          </w:tcPr>
          <w:p w14:paraId="72ACF433" w14:textId="77777777" w:rsidR="00C922F7" w:rsidRPr="00097181" w:rsidRDefault="00C922F7" w:rsidP="00713C93">
            <w:r w:rsidRPr="00097181">
              <w:t>24</w:t>
            </w:r>
          </w:p>
        </w:tc>
      </w:tr>
      <w:tr w:rsidR="00C922F7" w:rsidRPr="00097181" w14:paraId="3741AD94" w14:textId="77777777" w:rsidTr="001E0B61">
        <w:trPr>
          <w:trHeight w:val="315"/>
        </w:trPr>
        <w:tc>
          <w:tcPr>
            <w:tcW w:w="1221" w:type="pct"/>
            <w:shd w:val="clear" w:color="auto" w:fill="auto"/>
            <w:noWrap/>
            <w:hideMark/>
          </w:tcPr>
          <w:p w14:paraId="48DE9505" w14:textId="77777777" w:rsidR="00C922F7" w:rsidRPr="00097181" w:rsidRDefault="00C922F7" w:rsidP="00713C93">
            <w:r w:rsidRPr="00097181">
              <w:t>Spain</w:t>
            </w:r>
          </w:p>
        </w:tc>
        <w:tc>
          <w:tcPr>
            <w:tcW w:w="488" w:type="pct"/>
            <w:shd w:val="clear" w:color="auto" w:fill="auto"/>
            <w:noWrap/>
            <w:hideMark/>
          </w:tcPr>
          <w:p w14:paraId="1E07CB71" w14:textId="77777777" w:rsidR="00C922F7" w:rsidRPr="00097181" w:rsidRDefault="00C922F7" w:rsidP="00713C93">
            <w:r w:rsidRPr="00097181">
              <w:t>1 582</w:t>
            </w:r>
          </w:p>
        </w:tc>
        <w:tc>
          <w:tcPr>
            <w:tcW w:w="797" w:type="pct"/>
            <w:shd w:val="clear" w:color="auto" w:fill="auto"/>
            <w:noWrap/>
            <w:hideMark/>
          </w:tcPr>
          <w:p w14:paraId="2C1473BC" w14:textId="77777777" w:rsidR="00C922F7" w:rsidRPr="00097181" w:rsidRDefault="00C922F7" w:rsidP="00713C93">
            <w:r w:rsidRPr="00097181">
              <w:t>2 (20)</w:t>
            </w:r>
          </w:p>
        </w:tc>
        <w:tc>
          <w:tcPr>
            <w:tcW w:w="853" w:type="pct"/>
            <w:shd w:val="clear" w:color="auto" w:fill="auto"/>
            <w:noWrap/>
            <w:hideMark/>
          </w:tcPr>
          <w:p w14:paraId="27A8CA4A" w14:textId="77777777" w:rsidR="00C922F7" w:rsidRPr="00097181" w:rsidRDefault="00C922F7" w:rsidP="00713C93">
            <w:r w:rsidRPr="00097181">
              <w:t>2 (8.8)</w:t>
            </w:r>
          </w:p>
        </w:tc>
        <w:tc>
          <w:tcPr>
            <w:tcW w:w="853" w:type="pct"/>
            <w:shd w:val="clear" w:color="auto" w:fill="auto"/>
            <w:noWrap/>
            <w:hideMark/>
          </w:tcPr>
          <w:p w14:paraId="11654E4E" w14:textId="77777777" w:rsidR="00C922F7" w:rsidRPr="00097181" w:rsidRDefault="00C922F7" w:rsidP="00713C93">
            <w:r w:rsidRPr="00097181">
              <w:t>2 (9.0)</w:t>
            </w:r>
          </w:p>
        </w:tc>
        <w:tc>
          <w:tcPr>
            <w:tcW w:w="787" w:type="pct"/>
            <w:shd w:val="clear" w:color="auto" w:fill="auto"/>
            <w:noWrap/>
            <w:hideMark/>
          </w:tcPr>
          <w:p w14:paraId="7679BC82" w14:textId="77777777" w:rsidR="00C922F7" w:rsidRPr="00097181" w:rsidRDefault="00C922F7" w:rsidP="00713C93">
            <w:r w:rsidRPr="00097181">
              <w:t>11</w:t>
            </w:r>
          </w:p>
        </w:tc>
      </w:tr>
      <w:tr w:rsidR="00C922F7" w:rsidRPr="00097181" w14:paraId="5F2BA001" w14:textId="77777777" w:rsidTr="001E0B61">
        <w:trPr>
          <w:trHeight w:val="315"/>
        </w:trPr>
        <w:tc>
          <w:tcPr>
            <w:tcW w:w="1221" w:type="pct"/>
            <w:shd w:val="clear" w:color="auto" w:fill="auto"/>
            <w:noWrap/>
            <w:hideMark/>
          </w:tcPr>
          <w:p w14:paraId="6DACE566" w14:textId="77777777" w:rsidR="00C922F7" w:rsidRPr="00097181" w:rsidRDefault="00C922F7" w:rsidP="00713C93">
            <w:r w:rsidRPr="00097181">
              <w:t>UK</w:t>
            </w:r>
          </w:p>
        </w:tc>
        <w:tc>
          <w:tcPr>
            <w:tcW w:w="488" w:type="pct"/>
            <w:shd w:val="clear" w:color="auto" w:fill="auto"/>
            <w:noWrap/>
            <w:hideMark/>
          </w:tcPr>
          <w:p w14:paraId="1CE963B5" w14:textId="77777777" w:rsidR="00C922F7" w:rsidRPr="00097181" w:rsidRDefault="00C922F7" w:rsidP="00713C93">
            <w:r w:rsidRPr="00097181">
              <w:t>1 218</w:t>
            </w:r>
          </w:p>
        </w:tc>
        <w:tc>
          <w:tcPr>
            <w:tcW w:w="797" w:type="pct"/>
            <w:shd w:val="clear" w:color="auto" w:fill="auto"/>
            <w:noWrap/>
            <w:hideMark/>
          </w:tcPr>
          <w:p w14:paraId="40A2CEBA" w14:textId="77777777" w:rsidR="00C922F7" w:rsidRPr="00097181" w:rsidRDefault="00C922F7" w:rsidP="00713C93">
            <w:r w:rsidRPr="00097181">
              <w:t>3 (16)</w:t>
            </w:r>
          </w:p>
        </w:tc>
        <w:tc>
          <w:tcPr>
            <w:tcW w:w="853" w:type="pct"/>
            <w:shd w:val="clear" w:color="auto" w:fill="auto"/>
            <w:noWrap/>
            <w:hideMark/>
          </w:tcPr>
          <w:p w14:paraId="40E18359" w14:textId="77777777" w:rsidR="00C922F7" w:rsidRPr="00097181" w:rsidRDefault="00C922F7" w:rsidP="00713C93">
            <w:r w:rsidRPr="00097181">
              <w:t>5 (3.1)</w:t>
            </w:r>
          </w:p>
        </w:tc>
        <w:tc>
          <w:tcPr>
            <w:tcW w:w="853" w:type="pct"/>
            <w:shd w:val="clear" w:color="auto" w:fill="auto"/>
            <w:noWrap/>
            <w:hideMark/>
          </w:tcPr>
          <w:p w14:paraId="2678B5A4" w14:textId="77777777" w:rsidR="00C922F7" w:rsidRPr="00097181" w:rsidRDefault="00C922F7" w:rsidP="00713C93">
            <w:r w:rsidRPr="00097181">
              <w:t>5 (3.1)</w:t>
            </w:r>
          </w:p>
        </w:tc>
        <w:tc>
          <w:tcPr>
            <w:tcW w:w="787" w:type="pct"/>
            <w:shd w:val="clear" w:color="auto" w:fill="auto"/>
            <w:noWrap/>
            <w:hideMark/>
          </w:tcPr>
          <w:p w14:paraId="7FDD12EA" w14:textId="77777777" w:rsidR="00C922F7" w:rsidRPr="00097181" w:rsidRDefault="00C922F7" w:rsidP="00713C93">
            <w:r w:rsidRPr="00097181">
              <w:t>31</w:t>
            </w:r>
          </w:p>
        </w:tc>
      </w:tr>
      <w:tr w:rsidR="00C922F7" w:rsidRPr="00097181" w14:paraId="1D698E12" w14:textId="77777777" w:rsidTr="001E0B61">
        <w:trPr>
          <w:trHeight w:val="315"/>
        </w:trPr>
        <w:tc>
          <w:tcPr>
            <w:tcW w:w="1221" w:type="pct"/>
            <w:shd w:val="clear" w:color="auto" w:fill="auto"/>
            <w:noWrap/>
            <w:hideMark/>
          </w:tcPr>
          <w:p w14:paraId="27A63017" w14:textId="77777777" w:rsidR="00C922F7" w:rsidRPr="00097181" w:rsidRDefault="00C922F7" w:rsidP="00713C93">
            <w:r w:rsidRPr="00097181">
              <w:t>France</w:t>
            </w:r>
          </w:p>
        </w:tc>
        <w:tc>
          <w:tcPr>
            <w:tcW w:w="488" w:type="pct"/>
            <w:shd w:val="clear" w:color="auto" w:fill="auto"/>
            <w:noWrap/>
            <w:hideMark/>
          </w:tcPr>
          <w:p w14:paraId="2D8FA126" w14:textId="77777777" w:rsidR="00C922F7" w:rsidRPr="00097181" w:rsidRDefault="00C922F7" w:rsidP="00713C93">
            <w:r w:rsidRPr="00097181">
              <w:t>1 197</w:t>
            </w:r>
          </w:p>
        </w:tc>
        <w:tc>
          <w:tcPr>
            <w:tcW w:w="797" w:type="pct"/>
            <w:shd w:val="clear" w:color="auto" w:fill="auto"/>
            <w:noWrap/>
            <w:hideMark/>
          </w:tcPr>
          <w:p w14:paraId="7A25EA85" w14:textId="77777777" w:rsidR="00C922F7" w:rsidRPr="00097181" w:rsidRDefault="00C922F7" w:rsidP="00713C93">
            <w:r w:rsidRPr="00097181">
              <w:t>4 (15)</w:t>
            </w:r>
          </w:p>
        </w:tc>
        <w:tc>
          <w:tcPr>
            <w:tcW w:w="853" w:type="pct"/>
            <w:shd w:val="clear" w:color="auto" w:fill="auto"/>
            <w:noWrap/>
            <w:hideMark/>
          </w:tcPr>
          <w:p w14:paraId="1BA2E79B" w14:textId="77777777" w:rsidR="00C922F7" w:rsidRPr="00097181" w:rsidRDefault="00C922F7" w:rsidP="00713C93">
            <w:r w:rsidRPr="00097181">
              <w:t>3 (3.8)</w:t>
            </w:r>
          </w:p>
        </w:tc>
        <w:tc>
          <w:tcPr>
            <w:tcW w:w="853" w:type="pct"/>
            <w:shd w:val="clear" w:color="auto" w:fill="auto"/>
            <w:noWrap/>
            <w:hideMark/>
          </w:tcPr>
          <w:p w14:paraId="539BDF61" w14:textId="77777777" w:rsidR="00C922F7" w:rsidRPr="00097181" w:rsidRDefault="00C922F7" w:rsidP="00713C93">
            <w:r w:rsidRPr="00097181">
              <w:t>3 (3.8)</w:t>
            </w:r>
          </w:p>
        </w:tc>
        <w:tc>
          <w:tcPr>
            <w:tcW w:w="787" w:type="pct"/>
            <w:shd w:val="clear" w:color="auto" w:fill="auto"/>
            <w:noWrap/>
            <w:hideMark/>
          </w:tcPr>
          <w:p w14:paraId="1DD55D50" w14:textId="77777777" w:rsidR="00C922F7" w:rsidRPr="00097181" w:rsidRDefault="00C922F7" w:rsidP="00713C93">
            <w:r w:rsidRPr="00097181">
              <w:t>26</w:t>
            </w:r>
          </w:p>
        </w:tc>
      </w:tr>
      <w:tr w:rsidR="00C922F7" w:rsidRPr="00097181" w14:paraId="690D7BCE" w14:textId="77777777" w:rsidTr="001E0B61">
        <w:trPr>
          <w:trHeight w:val="315"/>
        </w:trPr>
        <w:tc>
          <w:tcPr>
            <w:tcW w:w="1221" w:type="pct"/>
            <w:shd w:val="clear" w:color="auto" w:fill="auto"/>
            <w:noWrap/>
            <w:hideMark/>
          </w:tcPr>
          <w:p w14:paraId="757C115E" w14:textId="77777777" w:rsidR="00C922F7" w:rsidRPr="00097181" w:rsidRDefault="00C922F7" w:rsidP="00713C93">
            <w:r w:rsidRPr="00097181">
              <w:t>Brazil</w:t>
            </w:r>
          </w:p>
        </w:tc>
        <w:tc>
          <w:tcPr>
            <w:tcW w:w="488" w:type="pct"/>
            <w:shd w:val="clear" w:color="auto" w:fill="auto"/>
            <w:noWrap/>
            <w:hideMark/>
          </w:tcPr>
          <w:p w14:paraId="33B33245" w14:textId="77777777" w:rsidR="00C922F7" w:rsidRPr="00097181" w:rsidRDefault="00C922F7" w:rsidP="00713C93">
            <w:r w:rsidRPr="00097181">
              <w:t>1 187</w:t>
            </w:r>
          </w:p>
        </w:tc>
        <w:tc>
          <w:tcPr>
            <w:tcW w:w="797" w:type="pct"/>
            <w:shd w:val="clear" w:color="auto" w:fill="auto"/>
            <w:noWrap/>
            <w:hideMark/>
          </w:tcPr>
          <w:p w14:paraId="7C9C42ED" w14:textId="77777777" w:rsidR="00C922F7" w:rsidRPr="00097181" w:rsidRDefault="00C922F7" w:rsidP="00713C93">
            <w:r w:rsidRPr="00097181">
              <w:t>5 (15)</w:t>
            </w:r>
          </w:p>
        </w:tc>
        <w:tc>
          <w:tcPr>
            <w:tcW w:w="853" w:type="pct"/>
            <w:shd w:val="clear" w:color="auto" w:fill="auto"/>
            <w:noWrap/>
            <w:hideMark/>
          </w:tcPr>
          <w:p w14:paraId="11C07157" w14:textId="77777777" w:rsidR="00C922F7" w:rsidRPr="00097181" w:rsidRDefault="00C922F7" w:rsidP="00713C93">
            <w:r w:rsidRPr="00097181">
              <w:t>7 (2.5)</w:t>
            </w:r>
          </w:p>
        </w:tc>
        <w:tc>
          <w:tcPr>
            <w:tcW w:w="853" w:type="pct"/>
            <w:shd w:val="clear" w:color="auto" w:fill="auto"/>
            <w:noWrap/>
            <w:hideMark/>
          </w:tcPr>
          <w:p w14:paraId="1EC8D82C" w14:textId="77777777" w:rsidR="00C922F7" w:rsidRPr="00097181" w:rsidRDefault="00C922F7" w:rsidP="00713C93">
            <w:r w:rsidRPr="00097181">
              <w:t>7 (2.5)</w:t>
            </w:r>
          </w:p>
        </w:tc>
        <w:tc>
          <w:tcPr>
            <w:tcW w:w="787" w:type="pct"/>
            <w:shd w:val="clear" w:color="auto" w:fill="auto"/>
            <w:noWrap/>
            <w:hideMark/>
          </w:tcPr>
          <w:p w14:paraId="1A19C0FD" w14:textId="77777777" w:rsidR="00C922F7" w:rsidRPr="00097181" w:rsidRDefault="00C922F7" w:rsidP="00713C93">
            <w:r w:rsidRPr="00097181">
              <w:t>28</w:t>
            </w:r>
          </w:p>
        </w:tc>
      </w:tr>
      <w:tr w:rsidR="00C922F7" w:rsidRPr="00097181" w14:paraId="2F36A24F" w14:textId="77777777" w:rsidTr="001E0B61">
        <w:trPr>
          <w:trHeight w:val="315"/>
        </w:trPr>
        <w:tc>
          <w:tcPr>
            <w:tcW w:w="1221" w:type="pct"/>
            <w:shd w:val="clear" w:color="auto" w:fill="auto"/>
            <w:noWrap/>
            <w:hideMark/>
          </w:tcPr>
          <w:p w14:paraId="45537C21" w14:textId="77777777" w:rsidR="00C922F7" w:rsidRPr="00097181" w:rsidRDefault="00C922F7" w:rsidP="00713C93">
            <w:r w:rsidRPr="00097181">
              <w:t>Germany</w:t>
            </w:r>
          </w:p>
        </w:tc>
        <w:tc>
          <w:tcPr>
            <w:tcW w:w="488" w:type="pct"/>
            <w:shd w:val="clear" w:color="auto" w:fill="auto"/>
            <w:noWrap/>
            <w:hideMark/>
          </w:tcPr>
          <w:p w14:paraId="2ECDE637" w14:textId="77777777" w:rsidR="00C922F7" w:rsidRPr="00097181" w:rsidRDefault="00C922F7" w:rsidP="00713C93">
            <w:r w:rsidRPr="00097181">
              <w:t>1 129</w:t>
            </w:r>
          </w:p>
        </w:tc>
        <w:tc>
          <w:tcPr>
            <w:tcW w:w="797" w:type="pct"/>
            <w:shd w:val="clear" w:color="auto" w:fill="auto"/>
            <w:noWrap/>
            <w:hideMark/>
          </w:tcPr>
          <w:p w14:paraId="2C0598DC" w14:textId="77777777" w:rsidR="00C922F7" w:rsidRPr="00097181" w:rsidRDefault="00C922F7" w:rsidP="00713C93">
            <w:r w:rsidRPr="00097181">
              <w:t>6 (14)</w:t>
            </w:r>
          </w:p>
        </w:tc>
        <w:tc>
          <w:tcPr>
            <w:tcW w:w="853" w:type="pct"/>
            <w:shd w:val="clear" w:color="auto" w:fill="auto"/>
            <w:noWrap/>
            <w:hideMark/>
          </w:tcPr>
          <w:p w14:paraId="6DC5F155" w14:textId="77777777" w:rsidR="00C922F7" w:rsidRPr="00097181" w:rsidRDefault="00C922F7" w:rsidP="00713C93">
            <w:r w:rsidRPr="00097181">
              <w:t>6 (2.9)</w:t>
            </w:r>
          </w:p>
        </w:tc>
        <w:tc>
          <w:tcPr>
            <w:tcW w:w="853" w:type="pct"/>
            <w:shd w:val="clear" w:color="auto" w:fill="auto"/>
            <w:noWrap/>
            <w:hideMark/>
          </w:tcPr>
          <w:p w14:paraId="5DC839AC" w14:textId="77777777" w:rsidR="00C922F7" w:rsidRPr="00097181" w:rsidRDefault="00C922F7" w:rsidP="00713C93">
            <w:r w:rsidRPr="00097181">
              <w:t>6 (3.0)</w:t>
            </w:r>
          </w:p>
        </w:tc>
        <w:tc>
          <w:tcPr>
            <w:tcW w:w="787" w:type="pct"/>
            <w:shd w:val="clear" w:color="auto" w:fill="auto"/>
            <w:noWrap/>
            <w:hideMark/>
          </w:tcPr>
          <w:p w14:paraId="6559559F" w14:textId="77777777" w:rsidR="00C922F7" w:rsidRPr="00097181" w:rsidRDefault="00C922F7" w:rsidP="00713C93">
            <w:r w:rsidRPr="00097181">
              <w:t>24</w:t>
            </w:r>
          </w:p>
        </w:tc>
      </w:tr>
      <w:tr w:rsidR="00C922F7" w:rsidRPr="00097181" w14:paraId="2388ECB0" w14:textId="77777777" w:rsidTr="001E0B61">
        <w:trPr>
          <w:trHeight w:val="315"/>
        </w:trPr>
        <w:tc>
          <w:tcPr>
            <w:tcW w:w="1221" w:type="pct"/>
            <w:shd w:val="clear" w:color="auto" w:fill="auto"/>
            <w:noWrap/>
            <w:hideMark/>
          </w:tcPr>
          <w:p w14:paraId="5DFD799A" w14:textId="77777777" w:rsidR="00C922F7" w:rsidRPr="00097181" w:rsidRDefault="00C922F7" w:rsidP="00713C93">
            <w:r w:rsidRPr="00097181">
              <w:t>Mexico</w:t>
            </w:r>
          </w:p>
        </w:tc>
        <w:tc>
          <w:tcPr>
            <w:tcW w:w="488" w:type="pct"/>
            <w:shd w:val="clear" w:color="auto" w:fill="auto"/>
            <w:noWrap/>
            <w:hideMark/>
          </w:tcPr>
          <w:p w14:paraId="602EFF08" w14:textId="77777777" w:rsidR="00C922F7" w:rsidRPr="00097181" w:rsidRDefault="00C922F7" w:rsidP="00713C93">
            <w:r w:rsidRPr="00097181">
              <w:t>1 061</w:t>
            </w:r>
          </w:p>
        </w:tc>
        <w:tc>
          <w:tcPr>
            <w:tcW w:w="797" w:type="pct"/>
            <w:shd w:val="clear" w:color="auto" w:fill="auto"/>
            <w:noWrap/>
            <w:hideMark/>
          </w:tcPr>
          <w:p w14:paraId="05FAB9F0" w14:textId="77777777" w:rsidR="00C922F7" w:rsidRPr="00097181" w:rsidRDefault="00C922F7" w:rsidP="00713C93">
            <w:r w:rsidRPr="00097181">
              <w:t>7 (14)</w:t>
            </w:r>
          </w:p>
        </w:tc>
        <w:tc>
          <w:tcPr>
            <w:tcW w:w="853" w:type="pct"/>
            <w:shd w:val="clear" w:color="auto" w:fill="auto"/>
            <w:noWrap/>
            <w:hideMark/>
          </w:tcPr>
          <w:p w14:paraId="7EBBF277" w14:textId="77777777" w:rsidR="00C922F7" w:rsidRPr="00097181" w:rsidRDefault="00C922F7" w:rsidP="00713C93">
            <w:r w:rsidRPr="00097181">
              <w:t>10 (1.9)</w:t>
            </w:r>
          </w:p>
        </w:tc>
        <w:tc>
          <w:tcPr>
            <w:tcW w:w="853" w:type="pct"/>
            <w:shd w:val="clear" w:color="auto" w:fill="auto"/>
            <w:noWrap/>
            <w:hideMark/>
          </w:tcPr>
          <w:p w14:paraId="0B51CDF9" w14:textId="77777777" w:rsidR="00C922F7" w:rsidRPr="00097181" w:rsidRDefault="00C922F7" w:rsidP="00713C93">
            <w:r w:rsidRPr="00097181">
              <w:t>10 (2.0)</w:t>
            </w:r>
          </w:p>
        </w:tc>
        <w:tc>
          <w:tcPr>
            <w:tcW w:w="787" w:type="pct"/>
            <w:shd w:val="clear" w:color="auto" w:fill="auto"/>
            <w:noWrap/>
            <w:hideMark/>
          </w:tcPr>
          <w:p w14:paraId="5C577DFB" w14:textId="77777777" w:rsidR="00C922F7" w:rsidRPr="00097181" w:rsidRDefault="00C922F7" w:rsidP="00713C93">
            <w:r w:rsidRPr="00097181">
              <w:t>23</w:t>
            </w:r>
          </w:p>
        </w:tc>
      </w:tr>
      <w:tr w:rsidR="00C922F7" w:rsidRPr="00097181" w14:paraId="07A58FE8" w14:textId="77777777" w:rsidTr="001E0B61">
        <w:trPr>
          <w:trHeight w:val="315"/>
        </w:trPr>
        <w:tc>
          <w:tcPr>
            <w:tcW w:w="1221" w:type="pct"/>
            <w:shd w:val="clear" w:color="auto" w:fill="auto"/>
            <w:noWrap/>
            <w:hideMark/>
          </w:tcPr>
          <w:p w14:paraId="56ECE1FF" w14:textId="77777777" w:rsidR="00C922F7" w:rsidRPr="00097181" w:rsidRDefault="00C922F7" w:rsidP="00713C93">
            <w:r w:rsidRPr="00097181">
              <w:t>Colombia</w:t>
            </w:r>
          </w:p>
        </w:tc>
        <w:tc>
          <w:tcPr>
            <w:tcW w:w="488" w:type="pct"/>
            <w:shd w:val="clear" w:color="auto" w:fill="auto"/>
            <w:noWrap/>
            <w:hideMark/>
          </w:tcPr>
          <w:p w14:paraId="58A6C71B" w14:textId="77777777" w:rsidR="00C922F7" w:rsidRPr="00097181" w:rsidRDefault="00C922F7" w:rsidP="00713C93">
            <w:r w:rsidRPr="00097181">
              <w:t>989</w:t>
            </w:r>
          </w:p>
        </w:tc>
        <w:tc>
          <w:tcPr>
            <w:tcW w:w="797" w:type="pct"/>
            <w:shd w:val="clear" w:color="auto" w:fill="auto"/>
            <w:noWrap/>
            <w:hideMark/>
          </w:tcPr>
          <w:p w14:paraId="11313DFD" w14:textId="77777777" w:rsidR="00C922F7" w:rsidRPr="00097181" w:rsidRDefault="00C922F7" w:rsidP="00713C93">
            <w:r w:rsidRPr="00097181">
              <w:t>8 (13)</w:t>
            </w:r>
          </w:p>
        </w:tc>
        <w:tc>
          <w:tcPr>
            <w:tcW w:w="853" w:type="pct"/>
            <w:shd w:val="clear" w:color="auto" w:fill="auto"/>
            <w:noWrap/>
            <w:hideMark/>
          </w:tcPr>
          <w:p w14:paraId="2923CAF5" w14:textId="77777777" w:rsidR="00C922F7" w:rsidRPr="00097181" w:rsidRDefault="00C922F7" w:rsidP="00713C93">
            <w:r w:rsidRPr="00097181">
              <w:t>16 (1.0)</w:t>
            </w:r>
          </w:p>
        </w:tc>
        <w:tc>
          <w:tcPr>
            <w:tcW w:w="853" w:type="pct"/>
            <w:shd w:val="clear" w:color="auto" w:fill="auto"/>
            <w:noWrap/>
            <w:hideMark/>
          </w:tcPr>
          <w:p w14:paraId="5D2DEDBF" w14:textId="77777777" w:rsidR="00C922F7" w:rsidRPr="00097181" w:rsidRDefault="00C922F7" w:rsidP="00713C93">
            <w:r w:rsidRPr="00097181">
              <w:t>16 (1.0)</w:t>
            </w:r>
          </w:p>
        </w:tc>
        <w:tc>
          <w:tcPr>
            <w:tcW w:w="787" w:type="pct"/>
            <w:shd w:val="clear" w:color="auto" w:fill="auto"/>
            <w:noWrap/>
            <w:hideMark/>
          </w:tcPr>
          <w:p w14:paraId="4606A2EF" w14:textId="77777777" w:rsidR="00C922F7" w:rsidRPr="00097181" w:rsidRDefault="00C922F7" w:rsidP="00713C93">
            <w:r w:rsidRPr="00097181">
              <w:t>27</w:t>
            </w:r>
          </w:p>
        </w:tc>
      </w:tr>
      <w:tr w:rsidR="00C922F7" w:rsidRPr="00097181" w14:paraId="2290FF64" w14:textId="77777777" w:rsidTr="001E0B61">
        <w:trPr>
          <w:trHeight w:val="315"/>
        </w:trPr>
        <w:tc>
          <w:tcPr>
            <w:tcW w:w="1221" w:type="pct"/>
            <w:shd w:val="clear" w:color="auto" w:fill="auto"/>
            <w:noWrap/>
            <w:hideMark/>
          </w:tcPr>
          <w:p w14:paraId="758E6C07" w14:textId="77777777" w:rsidR="00C922F7" w:rsidRPr="00097181" w:rsidRDefault="00C922F7" w:rsidP="00713C93">
            <w:r w:rsidRPr="00097181">
              <w:t>China</w:t>
            </w:r>
          </w:p>
        </w:tc>
        <w:tc>
          <w:tcPr>
            <w:tcW w:w="488" w:type="pct"/>
            <w:shd w:val="clear" w:color="auto" w:fill="auto"/>
            <w:noWrap/>
            <w:hideMark/>
          </w:tcPr>
          <w:p w14:paraId="73D343F2" w14:textId="77777777" w:rsidR="00C922F7" w:rsidRPr="00097181" w:rsidRDefault="00C922F7" w:rsidP="00713C93">
            <w:r w:rsidRPr="00097181">
              <w:t>702</w:t>
            </w:r>
          </w:p>
        </w:tc>
        <w:tc>
          <w:tcPr>
            <w:tcW w:w="797" w:type="pct"/>
            <w:shd w:val="clear" w:color="auto" w:fill="auto"/>
            <w:noWrap/>
            <w:hideMark/>
          </w:tcPr>
          <w:p w14:paraId="0AE2A16A" w14:textId="77777777" w:rsidR="00C922F7" w:rsidRPr="00097181" w:rsidRDefault="00C922F7" w:rsidP="00713C93">
            <w:r w:rsidRPr="00097181">
              <w:t>9 (9.0)</w:t>
            </w:r>
          </w:p>
        </w:tc>
        <w:tc>
          <w:tcPr>
            <w:tcW w:w="853" w:type="pct"/>
            <w:shd w:val="clear" w:color="auto" w:fill="auto"/>
            <w:noWrap/>
            <w:hideMark/>
          </w:tcPr>
          <w:p w14:paraId="335714C8" w14:textId="77777777" w:rsidR="00C922F7" w:rsidRPr="00097181" w:rsidRDefault="00C922F7" w:rsidP="00713C93">
            <w:r w:rsidRPr="00097181">
              <w:t>24 (0.50)</w:t>
            </w:r>
          </w:p>
        </w:tc>
        <w:tc>
          <w:tcPr>
            <w:tcW w:w="853" w:type="pct"/>
            <w:shd w:val="clear" w:color="auto" w:fill="auto"/>
            <w:noWrap/>
            <w:hideMark/>
          </w:tcPr>
          <w:p w14:paraId="2EC51C1E" w14:textId="77777777" w:rsidR="00C922F7" w:rsidRPr="00097181" w:rsidRDefault="00C922F7" w:rsidP="00713C93">
            <w:r w:rsidRPr="00097181">
              <w:t>23 (0.51)</w:t>
            </w:r>
          </w:p>
        </w:tc>
        <w:tc>
          <w:tcPr>
            <w:tcW w:w="787" w:type="pct"/>
            <w:shd w:val="clear" w:color="auto" w:fill="auto"/>
            <w:noWrap/>
            <w:hideMark/>
          </w:tcPr>
          <w:p w14:paraId="5AD46E1C" w14:textId="77777777" w:rsidR="00C922F7" w:rsidRPr="00097181" w:rsidRDefault="00C922F7" w:rsidP="00713C93">
            <w:r w:rsidRPr="00097181">
              <w:t>29</w:t>
            </w:r>
          </w:p>
        </w:tc>
      </w:tr>
      <w:tr w:rsidR="00C922F7" w:rsidRPr="00097181" w14:paraId="28CFA058" w14:textId="77777777" w:rsidTr="001E0B61">
        <w:trPr>
          <w:trHeight w:val="315"/>
        </w:trPr>
        <w:tc>
          <w:tcPr>
            <w:tcW w:w="1221" w:type="pct"/>
            <w:shd w:val="clear" w:color="auto" w:fill="auto"/>
            <w:noWrap/>
            <w:hideMark/>
          </w:tcPr>
          <w:p w14:paraId="2FA2634A" w14:textId="77777777" w:rsidR="00C922F7" w:rsidRPr="00097181" w:rsidRDefault="00C922F7" w:rsidP="00713C93">
            <w:r w:rsidRPr="00097181">
              <w:t>India</w:t>
            </w:r>
          </w:p>
        </w:tc>
        <w:tc>
          <w:tcPr>
            <w:tcW w:w="488" w:type="pct"/>
            <w:shd w:val="clear" w:color="auto" w:fill="auto"/>
            <w:noWrap/>
            <w:hideMark/>
          </w:tcPr>
          <w:p w14:paraId="03C7DE0F" w14:textId="77777777" w:rsidR="00C922F7" w:rsidRPr="00097181" w:rsidRDefault="00C922F7" w:rsidP="00713C93">
            <w:r w:rsidRPr="00097181">
              <w:t>682</w:t>
            </w:r>
          </w:p>
        </w:tc>
        <w:tc>
          <w:tcPr>
            <w:tcW w:w="797" w:type="pct"/>
            <w:shd w:val="clear" w:color="auto" w:fill="auto"/>
            <w:noWrap/>
            <w:hideMark/>
          </w:tcPr>
          <w:p w14:paraId="259EA690" w14:textId="77777777" w:rsidR="00C922F7" w:rsidRPr="00097181" w:rsidRDefault="00C922F7" w:rsidP="00713C93">
            <w:r w:rsidRPr="00097181">
              <w:t>10 (8.7)</w:t>
            </w:r>
          </w:p>
        </w:tc>
        <w:tc>
          <w:tcPr>
            <w:tcW w:w="853" w:type="pct"/>
            <w:shd w:val="clear" w:color="auto" w:fill="auto"/>
            <w:noWrap/>
            <w:hideMark/>
          </w:tcPr>
          <w:p w14:paraId="5268B63B" w14:textId="77777777" w:rsidR="00C922F7" w:rsidRPr="00097181" w:rsidRDefault="00C922F7" w:rsidP="00713C93">
            <w:r w:rsidRPr="00097181">
              <w:t>36 (0.12)</w:t>
            </w:r>
          </w:p>
        </w:tc>
        <w:tc>
          <w:tcPr>
            <w:tcW w:w="853" w:type="pct"/>
            <w:shd w:val="clear" w:color="auto" w:fill="auto"/>
            <w:noWrap/>
            <w:hideMark/>
          </w:tcPr>
          <w:p w14:paraId="1623E00F" w14:textId="77777777" w:rsidR="00C922F7" w:rsidRPr="00097181" w:rsidRDefault="00C922F7" w:rsidP="00713C93">
            <w:r w:rsidRPr="00097181">
              <w:t>36 (0.12)</w:t>
            </w:r>
          </w:p>
        </w:tc>
        <w:tc>
          <w:tcPr>
            <w:tcW w:w="787" w:type="pct"/>
            <w:shd w:val="clear" w:color="auto" w:fill="auto"/>
            <w:noWrap/>
            <w:hideMark/>
          </w:tcPr>
          <w:p w14:paraId="79576521" w14:textId="77777777" w:rsidR="00C922F7" w:rsidRPr="00097181" w:rsidRDefault="00C922F7" w:rsidP="00713C93">
            <w:r w:rsidRPr="00097181">
              <w:t>31</w:t>
            </w:r>
          </w:p>
        </w:tc>
      </w:tr>
      <w:tr w:rsidR="00C922F7" w:rsidRPr="00097181" w14:paraId="0E95C481" w14:textId="77777777" w:rsidTr="001E0B61">
        <w:trPr>
          <w:trHeight w:val="315"/>
        </w:trPr>
        <w:tc>
          <w:tcPr>
            <w:tcW w:w="1221" w:type="pct"/>
            <w:shd w:val="clear" w:color="auto" w:fill="auto"/>
            <w:noWrap/>
            <w:hideMark/>
          </w:tcPr>
          <w:p w14:paraId="40472576" w14:textId="77777777" w:rsidR="00C922F7" w:rsidRPr="00097181" w:rsidRDefault="00C922F7" w:rsidP="00713C93">
            <w:r w:rsidRPr="00097181">
              <w:t>Netherlands</w:t>
            </w:r>
          </w:p>
        </w:tc>
        <w:tc>
          <w:tcPr>
            <w:tcW w:w="488" w:type="pct"/>
            <w:shd w:val="clear" w:color="auto" w:fill="auto"/>
            <w:noWrap/>
            <w:hideMark/>
          </w:tcPr>
          <w:p w14:paraId="04750360" w14:textId="77777777" w:rsidR="00C922F7" w:rsidRPr="00097181" w:rsidRDefault="00C922F7" w:rsidP="00713C93">
            <w:r w:rsidRPr="00097181">
              <w:t>657</w:t>
            </w:r>
          </w:p>
        </w:tc>
        <w:tc>
          <w:tcPr>
            <w:tcW w:w="797" w:type="pct"/>
            <w:shd w:val="clear" w:color="auto" w:fill="auto"/>
            <w:noWrap/>
            <w:hideMark/>
          </w:tcPr>
          <w:p w14:paraId="180F35BF" w14:textId="77777777" w:rsidR="00C922F7" w:rsidRPr="00097181" w:rsidRDefault="00C922F7" w:rsidP="00713C93">
            <w:r w:rsidRPr="00097181">
              <w:t>11 (8.4)</w:t>
            </w:r>
          </w:p>
        </w:tc>
        <w:tc>
          <w:tcPr>
            <w:tcW w:w="853" w:type="pct"/>
            <w:shd w:val="clear" w:color="auto" w:fill="auto"/>
            <w:noWrap/>
            <w:hideMark/>
          </w:tcPr>
          <w:p w14:paraId="1A8D98E3" w14:textId="77777777" w:rsidR="00C922F7" w:rsidRPr="00097181" w:rsidRDefault="00C922F7" w:rsidP="00713C93">
            <w:r w:rsidRPr="00097181">
              <w:t>17 (1.0)</w:t>
            </w:r>
          </w:p>
        </w:tc>
        <w:tc>
          <w:tcPr>
            <w:tcW w:w="853" w:type="pct"/>
            <w:shd w:val="clear" w:color="auto" w:fill="auto"/>
            <w:noWrap/>
            <w:hideMark/>
          </w:tcPr>
          <w:p w14:paraId="452EEE4B" w14:textId="77777777" w:rsidR="00C922F7" w:rsidRPr="00097181" w:rsidRDefault="00C922F7" w:rsidP="00713C93">
            <w:r w:rsidRPr="00097181">
              <w:t>17 (1.0)</w:t>
            </w:r>
          </w:p>
        </w:tc>
        <w:tc>
          <w:tcPr>
            <w:tcW w:w="787" w:type="pct"/>
            <w:shd w:val="clear" w:color="auto" w:fill="auto"/>
            <w:noWrap/>
            <w:hideMark/>
          </w:tcPr>
          <w:p w14:paraId="34788512" w14:textId="77777777" w:rsidR="00C922F7" w:rsidRPr="00097181" w:rsidRDefault="00C922F7" w:rsidP="00713C93">
            <w:r w:rsidRPr="00097181">
              <w:t>31</w:t>
            </w:r>
          </w:p>
        </w:tc>
      </w:tr>
      <w:tr w:rsidR="00C922F7" w:rsidRPr="00097181" w14:paraId="1AFE6CC9" w14:textId="77777777" w:rsidTr="001E0B61">
        <w:trPr>
          <w:trHeight w:val="315"/>
        </w:trPr>
        <w:tc>
          <w:tcPr>
            <w:tcW w:w="1221" w:type="pct"/>
            <w:shd w:val="clear" w:color="auto" w:fill="auto"/>
            <w:noWrap/>
            <w:hideMark/>
          </w:tcPr>
          <w:p w14:paraId="22A04ED9" w14:textId="77777777" w:rsidR="00C922F7" w:rsidRPr="00097181" w:rsidRDefault="00C922F7" w:rsidP="00713C93">
            <w:r w:rsidRPr="00097181">
              <w:t>Argentina</w:t>
            </w:r>
          </w:p>
        </w:tc>
        <w:tc>
          <w:tcPr>
            <w:tcW w:w="488" w:type="pct"/>
            <w:shd w:val="clear" w:color="auto" w:fill="auto"/>
            <w:noWrap/>
            <w:hideMark/>
          </w:tcPr>
          <w:p w14:paraId="7AFDA755" w14:textId="77777777" w:rsidR="00C922F7" w:rsidRPr="00097181" w:rsidRDefault="00C922F7" w:rsidP="00713C93">
            <w:r w:rsidRPr="00097181">
              <w:t>653</w:t>
            </w:r>
          </w:p>
        </w:tc>
        <w:tc>
          <w:tcPr>
            <w:tcW w:w="797" w:type="pct"/>
            <w:shd w:val="clear" w:color="auto" w:fill="auto"/>
            <w:noWrap/>
            <w:hideMark/>
          </w:tcPr>
          <w:p w14:paraId="7009532C" w14:textId="77777777" w:rsidR="00C922F7" w:rsidRPr="00097181" w:rsidRDefault="00C922F7" w:rsidP="00713C93">
            <w:r w:rsidRPr="00097181">
              <w:t>12 (8.4)</w:t>
            </w:r>
          </w:p>
        </w:tc>
        <w:tc>
          <w:tcPr>
            <w:tcW w:w="853" w:type="pct"/>
            <w:shd w:val="clear" w:color="auto" w:fill="auto"/>
            <w:noWrap/>
            <w:hideMark/>
          </w:tcPr>
          <w:p w14:paraId="30C8C362" w14:textId="77777777" w:rsidR="00C922F7" w:rsidRPr="00097181" w:rsidRDefault="00C922F7" w:rsidP="00713C93">
            <w:r w:rsidRPr="00097181">
              <w:t>11 (1.8)</w:t>
            </w:r>
          </w:p>
        </w:tc>
        <w:tc>
          <w:tcPr>
            <w:tcW w:w="853" w:type="pct"/>
            <w:shd w:val="clear" w:color="auto" w:fill="auto"/>
            <w:noWrap/>
            <w:hideMark/>
          </w:tcPr>
          <w:p w14:paraId="20FC5EF2" w14:textId="77777777" w:rsidR="00C922F7" w:rsidRPr="00097181" w:rsidRDefault="00C922F7" w:rsidP="00713C93">
            <w:r w:rsidRPr="00097181">
              <w:t>11 (1.8)</w:t>
            </w:r>
          </w:p>
        </w:tc>
        <w:tc>
          <w:tcPr>
            <w:tcW w:w="787" w:type="pct"/>
            <w:shd w:val="clear" w:color="auto" w:fill="auto"/>
            <w:noWrap/>
            <w:hideMark/>
          </w:tcPr>
          <w:p w14:paraId="0CD32350" w14:textId="77777777" w:rsidR="00C922F7" w:rsidRPr="00097181" w:rsidRDefault="00C922F7" w:rsidP="00713C93">
            <w:r w:rsidRPr="00097181">
              <w:t>35</w:t>
            </w:r>
          </w:p>
        </w:tc>
      </w:tr>
      <w:tr w:rsidR="00C922F7" w:rsidRPr="00097181" w14:paraId="7EA9EA7D" w14:textId="77777777" w:rsidTr="001E0B61">
        <w:trPr>
          <w:trHeight w:val="315"/>
        </w:trPr>
        <w:tc>
          <w:tcPr>
            <w:tcW w:w="1221" w:type="pct"/>
            <w:shd w:val="clear" w:color="auto" w:fill="auto"/>
            <w:noWrap/>
            <w:hideMark/>
          </w:tcPr>
          <w:p w14:paraId="2DA021C1" w14:textId="77777777" w:rsidR="00C922F7" w:rsidRPr="00097181" w:rsidRDefault="00C922F7" w:rsidP="00713C93">
            <w:r w:rsidRPr="00097181">
              <w:t>Russia</w:t>
            </w:r>
          </w:p>
        </w:tc>
        <w:tc>
          <w:tcPr>
            <w:tcW w:w="488" w:type="pct"/>
            <w:shd w:val="clear" w:color="auto" w:fill="auto"/>
            <w:noWrap/>
            <w:hideMark/>
          </w:tcPr>
          <w:p w14:paraId="733BAE92" w14:textId="77777777" w:rsidR="00C922F7" w:rsidRPr="00097181" w:rsidRDefault="00C922F7" w:rsidP="00713C93">
            <w:r w:rsidRPr="00097181">
              <w:t>611</w:t>
            </w:r>
          </w:p>
        </w:tc>
        <w:tc>
          <w:tcPr>
            <w:tcW w:w="797" w:type="pct"/>
            <w:shd w:val="clear" w:color="auto" w:fill="auto"/>
            <w:noWrap/>
            <w:hideMark/>
          </w:tcPr>
          <w:p w14:paraId="53A4FF7D" w14:textId="77777777" w:rsidR="00C922F7" w:rsidRPr="00097181" w:rsidRDefault="00C922F7" w:rsidP="00713C93">
            <w:r w:rsidRPr="00097181">
              <w:t>13 (7.8)</w:t>
            </w:r>
          </w:p>
        </w:tc>
        <w:tc>
          <w:tcPr>
            <w:tcW w:w="853" w:type="pct"/>
            <w:shd w:val="clear" w:color="auto" w:fill="auto"/>
            <w:noWrap/>
            <w:hideMark/>
          </w:tcPr>
          <w:p w14:paraId="7BEA4057" w14:textId="77777777" w:rsidR="00C922F7" w:rsidRPr="00097181" w:rsidRDefault="00C922F7" w:rsidP="00713C93">
            <w:r w:rsidRPr="00097181">
              <w:t>4 (3.6)</w:t>
            </w:r>
          </w:p>
        </w:tc>
        <w:tc>
          <w:tcPr>
            <w:tcW w:w="853" w:type="pct"/>
            <w:shd w:val="clear" w:color="auto" w:fill="auto"/>
            <w:noWrap/>
            <w:hideMark/>
          </w:tcPr>
          <w:p w14:paraId="64B332F4" w14:textId="77777777" w:rsidR="00C922F7" w:rsidRPr="00097181" w:rsidRDefault="00C922F7" w:rsidP="00713C93">
            <w:r w:rsidRPr="00097181">
              <w:t>4 (3.7)</w:t>
            </w:r>
          </w:p>
        </w:tc>
        <w:tc>
          <w:tcPr>
            <w:tcW w:w="787" w:type="pct"/>
            <w:shd w:val="clear" w:color="auto" w:fill="auto"/>
            <w:noWrap/>
            <w:hideMark/>
          </w:tcPr>
          <w:p w14:paraId="49B6A377" w14:textId="77777777" w:rsidR="00C922F7" w:rsidRPr="00097181" w:rsidRDefault="00C922F7" w:rsidP="00713C93">
            <w:r w:rsidRPr="00097181">
              <w:t>29</w:t>
            </w:r>
          </w:p>
        </w:tc>
      </w:tr>
      <w:tr w:rsidR="00C922F7" w:rsidRPr="00097181" w14:paraId="2BE2B841" w14:textId="77777777" w:rsidTr="001E0B61">
        <w:trPr>
          <w:trHeight w:val="315"/>
        </w:trPr>
        <w:tc>
          <w:tcPr>
            <w:tcW w:w="1221" w:type="pct"/>
            <w:shd w:val="clear" w:color="auto" w:fill="auto"/>
            <w:noWrap/>
            <w:hideMark/>
          </w:tcPr>
          <w:p w14:paraId="5795AA94" w14:textId="77777777" w:rsidR="00C922F7" w:rsidRPr="00097181" w:rsidRDefault="00C922F7" w:rsidP="00713C93">
            <w:r w:rsidRPr="00097181">
              <w:t>South Korea</w:t>
            </w:r>
          </w:p>
        </w:tc>
        <w:tc>
          <w:tcPr>
            <w:tcW w:w="488" w:type="pct"/>
            <w:shd w:val="clear" w:color="auto" w:fill="auto"/>
            <w:noWrap/>
            <w:hideMark/>
          </w:tcPr>
          <w:p w14:paraId="23BDE2A2" w14:textId="77777777" w:rsidR="00C922F7" w:rsidRPr="00097181" w:rsidRDefault="00C922F7" w:rsidP="00713C93">
            <w:r w:rsidRPr="00097181">
              <w:t>602</w:t>
            </w:r>
          </w:p>
        </w:tc>
        <w:tc>
          <w:tcPr>
            <w:tcW w:w="797" w:type="pct"/>
            <w:shd w:val="clear" w:color="auto" w:fill="auto"/>
            <w:noWrap/>
            <w:hideMark/>
          </w:tcPr>
          <w:p w14:paraId="46AC25C9" w14:textId="77777777" w:rsidR="00C922F7" w:rsidRPr="00097181" w:rsidRDefault="00C922F7" w:rsidP="00713C93">
            <w:r w:rsidRPr="00097181">
              <w:t>14 (7.7)</w:t>
            </w:r>
          </w:p>
        </w:tc>
        <w:tc>
          <w:tcPr>
            <w:tcW w:w="853" w:type="pct"/>
            <w:shd w:val="clear" w:color="auto" w:fill="auto"/>
            <w:noWrap/>
            <w:hideMark/>
          </w:tcPr>
          <w:p w14:paraId="55326E0E" w14:textId="77777777" w:rsidR="00C922F7" w:rsidRPr="00097181" w:rsidRDefault="00C922F7" w:rsidP="00713C93">
            <w:r w:rsidRPr="00097181">
              <w:t>32 (0.17)</w:t>
            </w:r>
          </w:p>
        </w:tc>
        <w:tc>
          <w:tcPr>
            <w:tcW w:w="853" w:type="pct"/>
            <w:shd w:val="clear" w:color="auto" w:fill="auto"/>
            <w:noWrap/>
            <w:hideMark/>
          </w:tcPr>
          <w:p w14:paraId="0AB4E75B" w14:textId="77777777" w:rsidR="00C922F7" w:rsidRPr="00097181" w:rsidRDefault="00C922F7" w:rsidP="00713C93">
            <w:r w:rsidRPr="00097181">
              <w:t>32 (0.17)</w:t>
            </w:r>
          </w:p>
        </w:tc>
        <w:tc>
          <w:tcPr>
            <w:tcW w:w="787" w:type="pct"/>
            <w:shd w:val="clear" w:color="auto" w:fill="auto"/>
            <w:noWrap/>
            <w:hideMark/>
          </w:tcPr>
          <w:p w14:paraId="591C407C" w14:textId="77777777" w:rsidR="00C922F7" w:rsidRPr="00097181" w:rsidRDefault="00C922F7" w:rsidP="00713C93">
            <w:r w:rsidRPr="00097181">
              <w:t>27</w:t>
            </w:r>
          </w:p>
        </w:tc>
      </w:tr>
      <w:tr w:rsidR="00C922F7" w:rsidRPr="00097181" w14:paraId="5AAAE249" w14:textId="77777777" w:rsidTr="001E0B61">
        <w:trPr>
          <w:trHeight w:val="315"/>
        </w:trPr>
        <w:tc>
          <w:tcPr>
            <w:tcW w:w="1221" w:type="pct"/>
            <w:shd w:val="clear" w:color="auto" w:fill="auto"/>
            <w:noWrap/>
            <w:hideMark/>
          </w:tcPr>
          <w:p w14:paraId="33C35BF9" w14:textId="77777777" w:rsidR="00C922F7" w:rsidRPr="00097181" w:rsidRDefault="00C922F7" w:rsidP="00713C93">
            <w:r w:rsidRPr="00097181">
              <w:t>Czech Republic</w:t>
            </w:r>
          </w:p>
        </w:tc>
        <w:tc>
          <w:tcPr>
            <w:tcW w:w="488" w:type="pct"/>
            <w:shd w:val="clear" w:color="auto" w:fill="auto"/>
            <w:noWrap/>
            <w:hideMark/>
          </w:tcPr>
          <w:p w14:paraId="68AC286F" w14:textId="77777777" w:rsidR="00C922F7" w:rsidRPr="00097181" w:rsidRDefault="00C922F7" w:rsidP="00713C93">
            <w:r w:rsidRPr="00097181">
              <w:t>590</w:t>
            </w:r>
          </w:p>
        </w:tc>
        <w:tc>
          <w:tcPr>
            <w:tcW w:w="797" w:type="pct"/>
            <w:shd w:val="clear" w:color="auto" w:fill="auto"/>
            <w:noWrap/>
            <w:hideMark/>
          </w:tcPr>
          <w:p w14:paraId="2F982762" w14:textId="77777777" w:rsidR="00C922F7" w:rsidRPr="00097181" w:rsidRDefault="00C922F7" w:rsidP="00713C93">
            <w:r w:rsidRPr="00097181">
              <w:t>15 (7.6)</w:t>
            </w:r>
          </w:p>
        </w:tc>
        <w:tc>
          <w:tcPr>
            <w:tcW w:w="853" w:type="pct"/>
            <w:shd w:val="clear" w:color="auto" w:fill="auto"/>
            <w:noWrap/>
            <w:hideMark/>
          </w:tcPr>
          <w:p w14:paraId="7B2B9425" w14:textId="77777777" w:rsidR="00C922F7" w:rsidRPr="00097181" w:rsidRDefault="00C922F7" w:rsidP="00713C93">
            <w:r w:rsidRPr="00097181">
              <w:t>41 (0.064)</w:t>
            </w:r>
          </w:p>
        </w:tc>
        <w:tc>
          <w:tcPr>
            <w:tcW w:w="853" w:type="pct"/>
            <w:shd w:val="clear" w:color="auto" w:fill="auto"/>
            <w:noWrap/>
            <w:hideMark/>
          </w:tcPr>
          <w:p w14:paraId="51DF3C76" w14:textId="77777777" w:rsidR="00C922F7" w:rsidRPr="00097181" w:rsidRDefault="00C922F7" w:rsidP="00713C93">
            <w:r w:rsidRPr="00097181">
              <w:t>41 (0.07)</w:t>
            </w:r>
          </w:p>
        </w:tc>
        <w:tc>
          <w:tcPr>
            <w:tcW w:w="787" w:type="pct"/>
            <w:shd w:val="clear" w:color="auto" w:fill="auto"/>
            <w:noWrap/>
            <w:hideMark/>
          </w:tcPr>
          <w:p w14:paraId="7C1F5FCB" w14:textId="77777777" w:rsidR="00C922F7" w:rsidRPr="00097181" w:rsidRDefault="00C922F7" w:rsidP="00713C93">
            <w:r w:rsidRPr="00097181">
              <w:t>27</w:t>
            </w:r>
          </w:p>
        </w:tc>
      </w:tr>
      <w:tr w:rsidR="00C922F7" w:rsidRPr="00097181" w14:paraId="5A4F6CD8" w14:textId="77777777" w:rsidTr="001E0B61">
        <w:trPr>
          <w:trHeight w:val="315"/>
        </w:trPr>
        <w:tc>
          <w:tcPr>
            <w:tcW w:w="1221" w:type="pct"/>
            <w:shd w:val="clear" w:color="auto" w:fill="auto"/>
            <w:noWrap/>
            <w:hideMark/>
          </w:tcPr>
          <w:p w14:paraId="68B7E7F4" w14:textId="77777777" w:rsidR="00C922F7" w:rsidRPr="00097181" w:rsidRDefault="00C922F7" w:rsidP="00713C93">
            <w:r w:rsidRPr="00097181">
              <w:t>Canada</w:t>
            </w:r>
          </w:p>
        </w:tc>
        <w:tc>
          <w:tcPr>
            <w:tcW w:w="488" w:type="pct"/>
            <w:shd w:val="clear" w:color="auto" w:fill="auto"/>
            <w:noWrap/>
            <w:hideMark/>
          </w:tcPr>
          <w:p w14:paraId="724A68E2" w14:textId="77777777" w:rsidR="00C922F7" w:rsidRPr="00097181" w:rsidRDefault="00C922F7" w:rsidP="00713C93">
            <w:r w:rsidRPr="00097181">
              <w:t>565</w:t>
            </w:r>
          </w:p>
        </w:tc>
        <w:tc>
          <w:tcPr>
            <w:tcW w:w="797" w:type="pct"/>
            <w:shd w:val="clear" w:color="auto" w:fill="auto"/>
            <w:noWrap/>
            <w:hideMark/>
          </w:tcPr>
          <w:p w14:paraId="2BA69FDD" w14:textId="77777777" w:rsidR="00C922F7" w:rsidRPr="00097181" w:rsidRDefault="00C922F7" w:rsidP="00713C93">
            <w:r w:rsidRPr="00097181">
              <w:t>16 (7.2)</w:t>
            </w:r>
          </w:p>
        </w:tc>
        <w:tc>
          <w:tcPr>
            <w:tcW w:w="853" w:type="pct"/>
            <w:shd w:val="clear" w:color="auto" w:fill="auto"/>
            <w:noWrap/>
            <w:hideMark/>
          </w:tcPr>
          <w:p w14:paraId="324F9B35" w14:textId="77777777" w:rsidR="00C922F7" w:rsidRPr="00097181" w:rsidRDefault="00C922F7" w:rsidP="00713C93">
            <w:r w:rsidRPr="00097181">
              <w:t>14 (1.3)</w:t>
            </w:r>
          </w:p>
        </w:tc>
        <w:tc>
          <w:tcPr>
            <w:tcW w:w="853" w:type="pct"/>
            <w:shd w:val="clear" w:color="auto" w:fill="auto"/>
            <w:noWrap/>
            <w:hideMark/>
          </w:tcPr>
          <w:p w14:paraId="33020364" w14:textId="77777777" w:rsidR="00C922F7" w:rsidRPr="00097181" w:rsidRDefault="00C922F7" w:rsidP="00713C93">
            <w:r w:rsidRPr="00097181">
              <w:t>14 (1.3)</w:t>
            </w:r>
          </w:p>
        </w:tc>
        <w:tc>
          <w:tcPr>
            <w:tcW w:w="787" w:type="pct"/>
            <w:shd w:val="clear" w:color="auto" w:fill="auto"/>
            <w:noWrap/>
            <w:hideMark/>
          </w:tcPr>
          <w:p w14:paraId="6F48E393" w14:textId="77777777" w:rsidR="00C922F7" w:rsidRPr="00097181" w:rsidRDefault="00C922F7" w:rsidP="00713C93">
            <w:r w:rsidRPr="00097181">
              <w:t>38</w:t>
            </w:r>
          </w:p>
        </w:tc>
      </w:tr>
      <w:tr w:rsidR="00C922F7" w:rsidRPr="00097181" w14:paraId="63ADCEA7" w14:textId="77777777" w:rsidTr="001E0B61">
        <w:trPr>
          <w:trHeight w:val="315"/>
        </w:trPr>
        <w:tc>
          <w:tcPr>
            <w:tcW w:w="1221" w:type="pct"/>
            <w:shd w:val="clear" w:color="auto" w:fill="auto"/>
            <w:noWrap/>
            <w:hideMark/>
          </w:tcPr>
          <w:p w14:paraId="340F90C8" w14:textId="77777777" w:rsidR="00C922F7" w:rsidRPr="00097181" w:rsidRDefault="00C922F7" w:rsidP="00713C93">
            <w:r w:rsidRPr="00097181">
              <w:t>Italy</w:t>
            </w:r>
          </w:p>
        </w:tc>
        <w:tc>
          <w:tcPr>
            <w:tcW w:w="488" w:type="pct"/>
            <w:shd w:val="clear" w:color="auto" w:fill="auto"/>
            <w:noWrap/>
            <w:hideMark/>
          </w:tcPr>
          <w:p w14:paraId="54321B3A" w14:textId="77777777" w:rsidR="00C922F7" w:rsidRPr="00097181" w:rsidRDefault="00C922F7" w:rsidP="00713C93">
            <w:r w:rsidRPr="00097181">
              <w:t>551</w:t>
            </w:r>
          </w:p>
        </w:tc>
        <w:tc>
          <w:tcPr>
            <w:tcW w:w="797" w:type="pct"/>
            <w:shd w:val="clear" w:color="auto" w:fill="auto"/>
            <w:noWrap/>
            <w:hideMark/>
          </w:tcPr>
          <w:p w14:paraId="214B605B" w14:textId="77777777" w:rsidR="00C922F7" w:rsidRPr="00097181" w:rsidRDefault="00C922F7" w:rsidP="00713C93">
            <w:r w:rsidRPr="00097181">
              <w:t>17 (7.1)</w:t>
            </w:r>
          </w:p>
        </w:tc>
        <w:tc>
          <w:tcPr>
            <w:tcW w:w="853" w:type="pct"/>
            <w:shd w:val="clear" w:color="auto" w:fill="auto"/>
            <w:noWrap/>
            <w:hideMark/>
          </w:tcPr>
          <w:p w14:paraId="63BC4631" w14:textId="77777777" w:rsidR="00C922F7" w:rsidRPr="00097181" w:rsidRDefault="00C922F7" w:rsidP="00713C93">
            <w:r w:rsidRPr="00097181">
              <w:t>8 (2.4)</w:t>
            </w:r>
          </w:p>
        </w:tc>
        <w:tc>
          <w:tcPr>
            <w:tcW w:w="853" w:type="pct"/>
            <w:shd w:val="clear" w:color="auto" w:fill="auto"/>
            <w:noWrap/>
            <w:hideMark/>
          </w:tcPr>
          <w:p w14:paraId="48DDBC69" w14:textId="77777777" w:rsidR="00C922F7" w:rsidRPr="00097181" w:rsidRDefault="00C922F7" w:rsidP="00713C93">
            <w:r w:rsidRPr="00097181">
              <w:t>8 (2.4)</w:t>
            </w:r>
          </w:p>
        </w:tc>
        <w:tc>
          <w:tcPr>
            <w:tcW w:w="787" w:type="pct"/>
            <w:shd w:val="clear" w:color="auto" w:fill="auto"/>
            <w:noWrap/>
            <w:hideMark/>
          </w:tcPr>
          <w:p w14:paraId="7D91F696" w14:textId="77777777" w:rsidR="00C922F7" w:rsidRPr="00097181" w:rsidRDefault="00C922F7" w:rsidP="00713C93">
            <w:r w:rsidRPr="00097181">
              <w:t>22</w:t>
            </w:r>
          </w:p>
        </w:tc>
      </w:tr>
      <w:tr w:rsidR="00C922F7" w:rsidRPr="00097181" w14:paraId="38F21E77" w14:textId="77777777" w:rsidTr="001E0B61">
        <w:trPr>
          <w:trHeight w:val="315"/>
        </w:trPr>
        <w:tc>
          <w:tcPr>
            <w:tcW w:w="1221" w:type="pct"/>
            <w:shd w:val="clear" w:color="auto" w:fill="auto"/>
            <w:noWrap/>
            <w:hideMark/>
          </w:tcPr>
          <w:p w14:paraId="1DDDC7BE" w14:textId="77777777" w:rsidR="00C922F7" w:rsidRPr="00097181" w:rsidRDefault="00C922F7" w:rsidP="00713C93">
            <w:r w:rsidRPr="00097181">
              <w:t>Sweden</w:t>
            </w:r>
          </w:p>
        </w:tc>
        <w:tc>
          <w:tcPr>
            <w:tcW w:w="488" w:type="pct"/>
            <w:shd w:val="clear" w:color="auto" w:fill="auto"/>
            <w:noWrap/>
            <w:hideMark/>
          </w:tcPr>
          <w:p w14:paraId="60448D27" w14:textId="77777777" w:rsidR="00C922F7" w:rsidRPr="00097181" w:rsidRDefault="00C922F7" w:rsidP="00713C93">
            <w:r w:rsidRPr="00097181">
              <w:t>525</w:t>
            </w:r>
          </w:p>
        </w:tc>
        <w:tc>
          <w:tcPr>
            <w:tcW w:w="797" w:type="pct"/>
            <w:shd w:val="clear" w:color="auto" w:fill="auto"/>
            <w:noWrap/>
            <w:hideMark/>
          </w:tcPr>
          <w:p w14:paraId="40E7F5CC" w14:textId="77777777" w:rsidR="00C922F7" w:rsidRPr="00097181" w:rsidRDefault="00C922F7" w:rsidP="00713C93">
            <w:r w:rsidRPr="00097181">
              <w:t>18 (6.7)</w:t>
            </w:r>
          </w:p>
        </w:tc>
        <w:tc>
          <w:tcPr>
            <w:tcW w:w="853" w:type="pct"/>
            <w:shd w:val="clear" w:color="auto" w:fill="auto"/>
            <w:noWrap/>
            <w:hideMark/>
          </w:tcPr>
          <w:p w14:paraId="1DCD6AC7" w14:textId="77777777" w:rsidR="00C922F7" w:rsidRPr="00097181" w:rsidRDefault="00C922F7" w:rsidP="00713C93">
            <w:r w:rsidRPr="00097181">
              <w:t>22 (0.55)</w:t>
            </w:r>
          </w:p>
        </w:tc>
        <w:tc>
          <w:tcPr>
            <w:tcW w:w="853" w:type="pct"/>
            <w:shd w:val="clear" w:color="auto" w:fill="auto"/>
            <w:noWrap/>
            <w:hideMark/>
          </w:tcPr>
          <w:p w14:paraId="6C861BB2" w14:textId="77777777" w:rsidR="00C922F7" w:rsidRPr="00097181" w:rsidRDefault="00C922F7" w:rsidP="00713C93">
            <w:r w:rsidRPr="00097181">
              <w:t>24 (0.50)</w:t>
            </w:r>
          </w:p>
        </w:tc>
        <w:tc>
          <w:tcPr>
            <w:tcW w:w="787" w:type="pct"/>
            <w:shd w:val="clear" w:color="auto" w:fill="auto"/>
            <w:noWrap/>
            <w:hideMark/>
          </w:tcPr>
          <w:p w14:paraId="6FE17FD6" w14:textId="77777777" w:rsidR="00C922F7" w:rsidRPr="00097181" w:rsidRDefault="00C922F7" w:rsidP="00713C93">
            <w:r w:rsidRPr="00097181">
              <w:t>35</w:t>
            </w:r>
          </w:p>
        </w:tc>
      </w:tr>
      <w:tr w:rsidR="00C922F7" w:rsidRPr="00097181" w14:paraId="03DB4E7C" w14:textId="77777777" w:rsidTr="001E0B61">
        <w:trPr>
          <w:trHeight w:val="315"/>
        </w:trPr>
        <w:tc>
          <w:tcPr>
            <w:tcW w:w="1221" w:type="pct"/>
            <w:shd w:val="clear" w:color="auto" w:fill="auto"/>
            <w:noWrap/>
            <w:hideMark/>
          </w:tcPr>
          <w:p w14:paraId="3B87A076" w14:textId="77777777" w:rsidR="00C922F7" w:rsidRPr="00097181" w:rsidRDefault="00C922F7" w:rsidP="00713C93">
            <w:r w:rsidRPr="00097181">
              <w:t>Ireland</w:t>
            </w:r>
          </w:p>
        </w:tc>
        <w:tc>
          <w:tcPr>
            <w:tcW w:w="488" w:type="pct"/>
            <w:shd w:val="clear" w:color="auto" w:fill="auto"/>
            <w:noWrap/>
            <w:hideMark/>
          </w:tcPr>
          <w:p w14:paraId="5D23918D" w14:textId="77777777" w:rsidR="00C922F7" w:rsidRPr="00097181" w:rsidRDefault="00C922F7" w:rsidP="00713C93">
            <w:r w:rsidRPr="00097181">
              <w:t>522</w:t>
            </w:r>
          </w:p>
        </w:tc>
        <w:tc>
          <w:tcPr>
            <w:tcW w:w="797" w:type="pct"/>
            <w:shd w:val="clear" w:color="auto" w:fill="auto"/>
            <w:noWrap/>
            <w:hideMark/>
          </w:tcPr>
          <w:p w14:paraId="3893C163" w14:textId="77777777" w:rsidR="00C922F7" w:rsidRPr="00097181" w:rsidRDefault="00C922F7" w:rsidP="00713C93">
            <w:r w:rsidRPr="00097181">
              <w:t>19 (6.7)</w:t>
            </w:r>
          </w:p>
        </w:tc>
        <w:tc>
          <w:tcPr>
            <w:tcW w:w="853" w:type="pct"/>
            <w:shd w:val="clear" w:color="auto" w:fill="auto"/>
            <w:noWrap/>
            <w:hideMark/>
          </w:tcPr>
          <w:p w14:paraId="176ED3C6" w14:textId="77777777" w:rsidR="00C922F7" w:rsidRPr="00097181" w:rsidRDefault="00C922F7" w:rsidP="00713C93">
            <w:r w:rsidRPr="00097181">
              <w:t>46 (0.038)</w:t>
            </w:r>
          </w:p>
        </w:tc>
        <w:tc>
          <w:tcPr>
            <w:tcW w:w="853" w:type="pct"/>
            <w:shd w:val="clear" w:color="auto" w:fill="auto"/>
            <w:noWrap/>
            <w:hideMark/>
          </w:tcPr>
          <w:p w14:paraId="11BF207C" w14:textId="77777777" w:rsidR="00C922F7" w:rsidRPr="00097181" w:rsidRDefault="00C922F7" w:rsidP="00713C93">
            <w:r w:rsidRPr="00097181">
              <w:t>46 (0.04)</w:t>
            </w:r>
          </w:p>
        </w:tc>
        <w:tc>
          <w:tcPr>
            <w:tcW w:w="787" w:type="pct"/>
            <w:shd w:val="clear" w:color="auto" w:fill="auto"/>
            <w:noWrap/>
            <w:hideMark/>
          </w:tcPr>
          <w:p w14:paraId="6C4DE872" w14:textId="77777777" w:rsidR="00C922F7" w:rsidRPr="00097181" w:rsidRDefault="00C922F7" w:rsidP="00713C93">
            <w:r w:rsidRPr="00097181">
              <w:t>27</w:t>
            </w:r>
          </w:p>
        </w:tc>
      </w:tr>
      <w:tr w:rsidR="00C922F7" w:rsidRPr="00097181" w14:paraId="3A88EB0E" w14:textId="77777777" w:rsidTr="001E0B61">
        <w:trPr>
          <w:trHeight w:val="315"/>
        </w:trPr>
        <w:tc>
          <w:tcPr>
            <w:tcW w:w="1221" w:type="pct"/>
            <w:shd w:val="clear" w:color="auto" w:fill="auto"/>
            <w:noWrap/>
            <w:hideMark/>
          </w:tcPr>
          <w:p w14:paraId="0F5EA246" w14:textId="77777777" w:rsidR="00C922F7" w:rsidRPr="00097181" w:rsidRDefault="00C922F7" w:rsidP="00713C93">
            <w:r w:rsidRPr="00097181">
              <w:t>Belgium</w:t>
            </w:r>
          </w:p>
        </w:tc>
        <w:tc>
          <w:tcPr>
            <w:tcW w:w="488" w:type="pct"/>
            <w:shd w:val="clear" w:color="auto" w:fill="auto"/>
            <w:noWrap/>
            <w:hideMark/>
          </w:tcPr>
          <w:p w14:paraId="3C8405E3" w14:textId="77777777" w:rsidR="00C922F7" w:rsidRPr="00097181" w:rsidRDefault="00C922F7" w:rsidP="00713C93">
            <w:r w:rsidRPr="00097181">
              <w:t>485</w:t>
            </w:r>
          </w:p>
        </w:tc>
        <w:tc>
          <w:tcPr>
            <w:tcW w:w="797" w:type="pct"/>
            <w:shd w:val="clear" w:color="auto" w:fill="auto"/>
            <w:noWrap/>
            <w:hideMark/>
          </w:tcPr>
          <w:p w14:paraId="2FE2A09F" w14:textId="77777777" w:rsidR="00C922F7" w:rsidRPr="00097181" w:rsidRDefault="00C922F7" w:rsidP="00713C93">
            <w:r w:rsidRPr="00097181">
              <w:t>20 (6.2)</w:t>
            </w:r>
          </w:p>
        </w:tc>
        <w:tc>
          <w:tcPr>
            <w:tcW w:w="853" w:type="pct"/>
            <w:shd w:val="clear" w:color="auto" w:fill="auto"/>
            <w:noWrap/>
            <w:hideMark/>
          </w:tcPr>
          <w:p w14:paraId="2438AE5C" w14:textId="77777777" w:rsidR="00C922F7" w:rsidRPr="00097181" w:rsidRDefault="00C922F7" w:rsidP="00713C93">
            <w:r w:rsidRPr="00097181">
              <w:t>8 (2.4)</w:t>
            </w:r>
          </w:p>
        </w:tc>
        <w:tc>
          <w:tcPr>
            <w:tcW w:w="853" w:type="pct"/>
            <w:shd w:val="clear" w:color="auto" w:fill="auto"/>
            <w:noWrap/>
            <w:hideMark/>
          </w:tcPr>
          <w:p w14:paraId="2D85B48C" w14:textId="77777777" w:rsidR="00C922F7" w:rsidRPr="00097181" w:rsidRDefault="00C922F7" w:rsidP="00713C93">
            <w:r w:rsidRPr="00097181">
              <w:t>8 (2.4)</w:t>
            </w:r>
          </w:p>
        </w:tc>
        <w:tc>
          <w:tcPr>
            <w:tcW w:w="787" w:type="pct"/>
            <w:shd w:val="clear" w:color="auto" w:fill="auto"/>
            <w:noWrap/>
            <w:hideMark/>
          </w:tcPr>
          <w:p w14:paraId="7D6C3061" w14:textId="77777777" w:rsidR="00C922F7" w:rsidRPr="00097181" w:rsidRDefault="00C922F7" w:rsidP="00713C93">
            <w:r w:rsidRPr="00097181">
              <w:t>18</w:t>
            </w:r>
          </w:p>
        </w:tc>
      </w:tr>
    </w:tbl>
    <w:p w14:paraId="31AE4EA1" w14:textId="77777777" w:rsidR="00C922F7" w:rsidRPr="00097181" w:rsidRDefault="00C922F7" w:rsidP="00713C93"/>
    <w:p w14:paraId="070B4877" w14:textId="682DAD5E" w:rsidR="00C922F7" w:rsidRPr="00097181" w:rsidRDefault="00C922F7" w:rsidP="00713C93">
      <w:r w:rsidRPr="00097181">
        <w:rPr>
          <w:i/>
        </w:rPr>
        <w:t>TP</w:t>
      </w:r>
      <w:r w:rsidRPr="00097181">
        <w:t xml:space="preserve">: total number of collaborative articles with Ecuador; </w:t>
      </w:r>
      <w:r w:rsidRPr="00097181">
        <w:rPr>
          <w:i/>
        </w:rPr>
        <w:t>TPR</w:t>
      </w:r>
      <w:r w:rsidRPr="00097181">
        <w:t xml:space="preserve"> (%): rank total number of collaborative articles with Ecuador and the percentage of total articles; </w:t>
      </w:r>
      <w:r w:rsidRPr="00097181">
        <w:rPr>
          <w:i/>
        </w:rPr>
        <w:t>FPR</w:t>
      </w:r>
      <w:r w:rsidRPr="00097181">
        <w:t xml:space="preserve"> (%): rank and the percentage of first author articles; </w:t>
      </w:r>
      <w:r w:rsidRPr="00097181">
        <w:rPr>
          <w:i/>
        </w:rPr>
        <w:t>RPR</w:t>
      </w:r>
      <w:r w:rsidRPr="00097181">
        <w:t xml:space="preserve"> (%): rank and the percentage of the corresponding authored articles; </w:t>
      </w:r>
      <w:r w:rsidRPr="00097181">
        <w:rPr>
          <w:i/>
        </w:rPr>
        <w:t>CPP</w:t>
      </w:r>
      <w:r w:rsidRPr="00097181">
        <w:rPr>
          <w:vertAlign w:val="subscript"/>
        </w:rPr>
        <w:t>2017</w:t>
      </w:r>
      <w:r w:rsidRPr="00097181">
        <w:t>: number of citations (</w:t>
      </w:r>
      <w:r w:rsidRPr="00097181">
        <w:rPr>
          <w:i/>
        </w:rPr>
        <w:t>TC</w:t>
      </w:r>
      <w:r w:rsidRPr="00097181">
        <w:rPr>
          <w:vertAlign w:val="subscript"/>
        </w:rPr>
        <w:t>2017</w:t>
      </w:r>
      <w:r w:rsidRPr="00097181">
        <w:t>) per publication (</w:t>
      </w:r>
      <w:r w:rsidRPr="00097181">
        <w:rPr>
          <w:i/>
        </w:rPr>
        <w:t>TP</w:t>
      </w:r>
      <w:r w:rsidRPr="00097181">
        <w:t>).</w:t>
      </w:r>
    </w:p>
    <w:p w14:paraId="3B60DE45" w14:textId="0E3BBEDB" w:rsidR="00371EDE" w:rsidRPr="00097181" w:rsidRDefault="00371EDE" w:rsidP="00713C93"/>
    <w:p w14:paraId="25159D78" w14:textId="4946CA21" w:rsidR="00371EDE" w:rsidRPr="00097181" w:rsidRDefault="00371EDE" w:rsidP="00713C93"/>
    <w:p w14:paraId="3BC51D0B" w14:textId="13F80CA9" w:rsidR="00371EDE" w:rsidRPr="00097181" w:rsidRDefault="00371EDE" w:rsidP="00713C93"/>
    <w:p w14:paraId="2E0A64D2" w14:textId="5FCA9352" w:rsidR="00371EDE" w:rsidRPr="00097181" w:rsidRDefault="00371EDE" w:rsidP="00713C93"/>
    <w:p w14:paraId="7982921E" w14:textId="212C873B" w:rsidR="00371EDE" w:rsidRPr="00097181" w:rsidRDefault="00371EDE" w:rsidP="00713C93"/>
    <w:p w14:paraId="444C9F80" w14:textId="4A8FCCC3" w:rsidR="00371EDE" w:rsidRPr="00097181" w:rsidRDefault="00371EDE" w:rsidP="00713C93"/>
    <w:p w14:paraId="09AF37D3" w14:textId="21FD4B1B" w:rsidR="00371EDE" w:rsidRPr="00097181" w:rsidRDefault="00371EDE" w:rsidP="00713C93"/>
    <w:p w14:paraId="0D372028" w14:textId="16D94DBD" w:rsidR="00371EDE" w:rsidRPr="00097181" w:rsidRDefault="00371EDE" w:rsidP="00713C93"/>
    <w:p w14:paraId="29880FC6" w14:textId="63D1D6AD" w:rsidR="00371EDE" w:rsidRPr="00097181" w:rsidRDefault="00371EDE" w:rsidP="00713C93"/>
    <w:p w14:paraId="04258A16" w14:textId="2F2F1C4D" w:rsidR="00371EDE" w:rsidRPr="00097181" w:rsidRDefault="00371EDE" w:rsidP="00713C93"/>
    <w:p w14:paraId="3D5D7331" w14:textId="4518E1A3" w:rsidR="00371EDE" w:rsidRPr="00097181" w:rsidRDefault="00371EDE" w:rsidP="00713C93"/>
    <w:p w14:paraId="669504F3" w14:textId="7DEBDD34" w:rsidR="00371EDE" w:rsidRPr="00097181" w:rsidRDefault="00371EDE" w:rsidP="00713C93"/>
    <w:p w14:paraId="56E7A5C4" w14:textId="77777777" w:rsidR="00C922F7" w:rsidRPr="00097181" w:rsidRDefault="00C922F7" w:rsidP="00713C93"/>
    <w:p w14:paraId="0FCF3450" w14:textId="7475A924" w:rsidR="00C922F7" w:rsidRPr="00097181" w:rsidRDefault="00C922F7" w:rsidP="006878A4">
      <w:pPr>
        <w:jc w:val="center"/>
      </w:pPr>
      <w:r w:rsidRPr="00097181">
        <w:t xml:space="preserve">TABLE </w:t>
      </w:r>
      <w:r w:rsidR="00611AEA" w:rsidRPr="00097181">
        <w:t>5</w:t>
      </w:r>
    </w:p>
    <w:p w14:paraId="1B1687F4" w14:textId="77777777" w:rsidR="00C922F7" w:rsidRPr="00097181" w:rsidRDefault="00C922F7" w:rsidP="006878A4">
      <w:pPr>
        <w:jc w:val="center"/>
      </w:pPr>
      <w:r w:rsidRPr="00097181">
        <w:t>Top 10 productive institutions</w:t>
      </w:r>
    </w:p>
    <w:p w14:paraId="4A6A5988" w14:textId="77777777" w:rsidR="00C922F7" w:rsidRPr="00097181" w:rsidRDefault="00C922F7" w:rsidP="00713C93"/>
    <w:tbl>
      <w:tblPr>
        <w:tblW w:w="11570" w:type="dxa"/>
        <w:tblInd w:w="-993" w:type="dxa"/>
        <w:tblLook w:val="04A0" w:firstRow="1" w:lastRow="0" w:firstColumn="1" w:lastColumn="0" w:noHBand="0" w:noVBand="1"/>
      </w:tblPr>
      <w:tblGrid>
        <w:gridCol w:w="3228"/>
        <w:gridCol w:w="999"/>
        <w:gridCol w:w="985"/>
        <w:gridCol w:w="1175"/>
        <w:gridCol w:w="992"/>
        <w:gridCol w:w="992"/>
        <w:gridCol w:w="993"/>
        <w:gridCol w:w="992"/>
        <w:gridCol w:w="850"/>
        <w:gridCol w:w="364"/>
      </w:tblGrid>
      <w:tr w:rsidR="00C922F7" w:rsidRPr="00097181" w14:paraId="31EA8D85" w14:textId="77777777" w:rsidTr="001E0B61">
        <w:trPr>
          <w:trHeight w:val="315"/>
        </w:trPr>
        <w:tc>
          <w:tcPr>
            <w:tcW w:w="3228" w:type="dxa"/>
            <w:shd w:val="clear" w:color="auto" w:fill="D9D9D9" w:themeFill="background1" w:themeFillShade="D9"/>
            <w:noWrap/>
            <w:hideMark/>
          </w:tcPr>
          <w:p w14:paraId="6CF99197" w14:textId="77777777" w:rsidR="00C922F7" w:rsidRPr="00097181" w:rsidRDefault="00C922F7" w:rsidP="00713C93">
            <w:r w:rsidRPr="00097181">
              <w:t>Institute</w:t>
            </w:r>
          </w:p>
        </w:tc>
        <w:tc>
          <w:tcPr>
            <w:tcW w:w="999" w:type="dxa"/>
            <w:shd w:val="clear" w:color="auto" w:fill="D9D9D9" w:themeFill="background1" w:themeFillShade="D9"/>
            <w:noWrap/>
            <w:hideMark/>
          </w:tcPr>
          <w:p w14:paraId="3D53503B" w14:textId="77777777" w:rsidR="00C922F7" w:rsidRPr="00097181" w:rsidRDefault="00C922F7" w:rsidP="00713C93">
            <w:r w:rsidRPr="00097181">
              <w:t>TP</w:t>
            </w:r>
          </w:p>
        </w:tc>
        <w:tc>
          <w:tcPr>
            <w:tcW w:w="985" w:type="dxa"/>
            <w:shd w:val="clear" w:color="auto" w:fill="D9D9D9" w:themeFill="background1" w:themeFillShade="D9"/>
            <w:noWrap/>
            <w:hideMark/>
          </w:tcPr>
          <w:p w14:paraId="4039C35F" w14:textId="77777777" w:rsidR="00C922F7" w:rsidRPr="00097181" w:rsidRDefault="00C922F7" w:rsidP="00713C93">
            <w:r w:rsidRPr="00097181">
              <w:rPr>
                <w:i/>
              </w:rPr>
              <w:t>TPR</w:t>
            </w:r>
            <w:r w:rsidRPr="00097181">
              <w:t xml:space="preserve"> (%)</w:t>
            </w:r>
          </w:p>
        </w:tc>
        <w:tc>
          <w:tcPr>
            <w:tcW w:w="1175" w:type="dxa"/>
            <w:shd w:val="clear" w:color="auto" w:fill="D9D9D9" w:themeFill="background1" w:themeFillShade="D9"/>
            <w:noWrap/>
            <w:hideMark/>
          </w:tcPr>
          <w:p w14:paraId="0308E87C" w14:textId="77777777" w:rsidR="00C922F7" w:rsidRPr="00097181" w:rsidRDefault="00C922F7" w:rsidP="00713C93">
            <w:r w:rsidRPr="00097181">
              <w:rPr>
                <w:i/>
              </w:rPr>
              <w:t>IPR</w:t>
            </w:r>
            <w:r w:rsidRPr="00097181">
              <w:t xml:space="preserve"> (%)</w:t>
            </w:r>
          </w:p>
        </w:tc>
        <w:tc>
          <w:tcPr>
            <w:tcW w:w="992" w:type="dxa"/>
            <w:shd w:val="clear" w:color="auto" w:fill="D9D9D9" w:themeFill="background1" w:themeFillShade="D9"/>
            <w:noWrap/>
            <w:hideMark/>
          </w:tcPr>
          <w:p w14:paraId="07CB8FC7" w14:textId="77777777" w:rsidR="00C922F7" w:rsidRPr="00097181" w:rsidRDefault="00C922F7" w:rsidP="00713C93">
            <w:r w:rsidRPr="00097181">
              <w:rPr>
                <w:i/>
              </w:rPr>
              <w:t>CPR</w:t>
            </w:r>
            <w:r w:rsidRPr="00097181">
              <w:t xml:space="preserve"> (%)</w:t>
            </w:r>
          </w:p>
        </w:tc>
        <w:tc>
          <w:tcPr>
            <w:tcW w:w="992" w:type="dxa"/>
            <w:shd w:val="clear" w:color="auto" w:fill="D9D9D9" w:themeFill="background1" w:themeFillShade="D9"/>
            <w:noWrap/>
            <w:hideMark/>
          </w:tcPr>
          <w:p w14:paraId="275777A6" w14:textId="77777777" w:rsidR="00C922F7" w:rsidRPr="00097181" w:rsidRDefault="00C922F7" w:rsidP="00713C93">
            <w:r w:rsidRPr="00097181">
              <w:rPr>
                <w:i/>
              </w:rPr>
              <w:t>FPR</w:t>
            </w:r>
            <w:r w:rsidRPr="00097181">
              <w:t xml:space="preserve"> (%)</w:t>
            </w:r>
          </w:p>
        </w:tc>
        <w:tc>
          <w:tcPr>
            <w:tcW w:w="993" w:type="dxa"/>
            <w:shd w:val="clear" w:color="auto" w:fill="D9D9D9" w:themeFill="background1" w:themeFillShade="D9"/>
            <w:noWrap/>
            <w:hideMark/>
          </w:tcPr>
          <w:p w14:paraId="6195E82C" w14:textId="77777777" w:rsidR="00C922F7" w:rsidRPr="00097181" w:rsidRDefault="00C922F7" w:rsidP="00713C93">
            <w:r w:rsidRPr="00097181">
              <w:rPr>
                <w:i/>
              </w:rPr>
              <w:t>RPR</w:t>
            </w:r>
            <w:r w:rsidRPr="00097181">
              <w:t xml:space="preserve"> (%)</w:t>
            </w:r>
          </w:p>
        </w:tc>
        <w:tc>
          <w:tcPr>
            <w:tcW w:w="992" w:type="dxa"/>
            <w:shd w:val="clear" w:color="auto" w:fill="D9D9D9" w:themeFill="background1" w:themeFillShade="D9"/>
            <w:noWrap/>
            <w:hideMark/>
          </w:tcPr>
          <w:p w14:paraId="4EF8B883" w14:textId="77777777" w:rsidR="00C922F7" w:rsidRPr="00097181" w:rsidRDefault="00C922F7" w:rsidP="00713C93">
            <w:r w:rsidRPr="00097181">
              <w:rPr>
                <w:i/>
              </w:rPr>
              <w:t>SPR</w:t>
            </w:r>
            <w:r w:rsidRPr="00097181">
              <w:t xml:space="preserve"> (%)</w:t>
            </w:r>
          </w:p>
        </w:tc>
        <w:tc>
          <w:tcPr>
            <w:tcW w:w="1214" w:type="dxa"/>
            <w:gridSpan w:val="2"/>
            <w:shd w:val="clear" w:color="auto" w:fill="D9D9D9" w:themeFill="background1" w:themeFillShade="D9"/>
            <w:noWrap/>
            <w:hideMark/>
          </w:tcPr>
          <w:p w14:paraId="36CB578D" w14:textId="77777777" w:rsidR="00C922F7" w:rsidRPr="00097181" w:rsidRDefault="00C922F7" w:rsidP="00713C93">
            <w:r w:rsidRPr="00097181">
              <w:rPr>
                <w:i/>
              </w:rPr>
              <w:t>CPP</w:t>
            </w:r>
            <w:r w:rsidRPr="00097181">
              <w:rPr>
                <w:vertAlign w:val="subscript"/>
              </w:rPr>
              <w:t>2017</w:t>
            </w:r>
          </w:p>
        </w:tc>
      </w:tr>
      <w:tr w:rsidR="00C922F7" w:rsidRPr="00097181" w14:paraId="16EE7033" w14:textId="77777777" w:rsidTr="001E0B61">
        <w:trPr>
          <w:gridAfter w:val="1"/>
          <w:wAfter w:w="364" w:type="dxa"/>
          <w:trHeight w:val="315"/>
        </w:trPr>
        <w:tc>
          <w:tcPr>
            <w:tcW w:w="3228" w:type="dxa"/>
            <w:shd w:val="clear" w:color="auto" w:fill="auto"/>
            <w:noWrap/>
            <w:hideMark/>
          </w:tcPr>
          <w:p w14:paraId="0E44043B" w14:textId="77777777" w:rsidR="00C922F7" w:rsidRPr="00097181" w:rsidRDefault="00C922F7" w:rsidP="00713C93">
            <w:pPr>
              <w:rPr>
                <w:lang w:val="es-EC"/>
              </w:rPr>
            </w:pPr>
            <w:r w:rsidRPr="00097181">
              <w:rPr>
                <w:lang w:val="es-EC"/>
              </w:rPr>
              <w:t>Universidad San Francisco de Quito</w:t>
            </w:r>
          </w:p>
        </w:tc>
        <w:tc>
          <w:tcPr>
            <w:tcW w:w="999" w:type="dxa"/>
            <w:shd w:val="clear" w:color="auto" w:fill="auto"/>
            <w:noWrap/>
            <w:hideMark/>
          </w:tcPr>
          <w:p w14:paraId="626307E6" w14:textId="77777777" w:rsidR="00C922F7" w:rsidRPr="00097181" w:rsidRDefault="00C922F7" w:rsidP="00713C93">
            <w:r w:rsidRPr="00097181">
              <w:t>1 127</w:t>
            </w:r>
          </w:p>
        </w:tc>
        <w:tc>
          <w:tcPr>
            <w:tcW w:w="985" w:type="dxa"/>
            <w:shd w:val="clear" w:color="auto" w:fill="auto"/>
            <w:noWrap/>
            <w:hideMark/>
          </w:tcPr>
          <w:p w14:paraId="0C32F2CD" w14:textId="77777777" w:rsidR="00C922F7" w:rsidRPr="00097181" w:rsidRDefault="00C922F7" w:rsidP="00713C93">
            <w:r w:rsidRPr="00097181">
              <w:t>1 (14)</w:t>
            </w:r>
          </w:p>
        </w:tc>
        <w:tc>
          <w:tcPr>
            <w:tcW w:w="1175" w:type="dxa"/>
            <w:shd w:val="clear" w:color="auto" w:fill="auto"/>
            <w:noWrap/>
            <w:hideMark/>
          </w:tcPr>
          <w:p w14:paraId="199959B3" w14:textId="77777777" w:rsidR="00C922F7" w:rsidRPr="00097181" w:rsidRDefault="00C922F7" w:rsidP="00713C93">
            <w:r w:rsidRPr="00097181">
              <w:t>8 (3.2)</w:t>
            </w:r>
          </w:p>
        </w:tc>
        <w:tc>
          <w:tcPr>
            <w:tcW w:w="992" w:type="dxa"/>
            <w:shd w:val="clear" w:color="auto" w:fill="auto"/>
            <w:noWrap/>
            <w:hideMark/>
          </w:tcPr>
          <w:p w14:paraId="2B12D67C" w14:textId="77777777" w:rsidR="00C922F7" w:rsidRPr="00097181" w:rsidRDefault="00C922F7" w:rsidP="00713C93">
            <w:r w:rsidRPr="00097181">
              <w:t>1 (16)</w:t>
            </w:r>
          </w:p>
        </w:tc>
        <w:tc>
          <w:tcPr>
            <w:tcW w:w="992" w:type="dxa"/>
            <w:shd w:val="clear" w:color="auto" w:fill="auto"/>
            <w:noWrap/>
            <w:hideMark/>
          </w:tcPr>
          <w:p w14:paraId="0CBB1E34" w14:textId="77777777" w:rsidR="00C922F7" w:rsidRPr="00097181" w:rsidRDefault="00C922F7" w:rsidP="00713C93">
            <w:r w:rsidRPr="00097181">
              <w:t>4 (1.8)</w:t>
            </w:r>
          </w:p>
        </w:tc>
        <w:tc>
          <w:tcPr>
            <w:tcW w:w="993" w:type="dxa"/>
            <w:shd w:val="clear" w:color="auto" w:fill="auto"/>
            <w:noWrap/>
            <w:hideMark/>
          </w:tcPr>
          <w:p w14:paraId="01826B7D" w14:textId="77777777" w:rsidR="00C922F7" w:rsidRPr="00097181" w:rsidRDefault="00C922F7" w:rsidP="00713C93">
            <w:r w:rsidRPr="00097181">
              <w:t>4 (1.3)</w:t>
            </w:r>
          </w:p>
        </w:tc>
        <w:tc>
          <w:tcPr>
            <w:tcW w:w="992" w:type="dxa"/>
            <w:shd w:val="clear" w:color="auto" w:fill="auto"/>
            <w:noWrap/>
            <w:hideMark/>
          </w:tcPr>
          <w:p w14:paraId="03624F8A" w14:textId="77777777" w:rsidR="00C922F7" w:rsidRPr="00097181" w:rsidRDefault="00C922F7" w:rsidP="00713C93">
            <w:r w:rsidRPr="00097181">
              <w:t>8 (2.7)</w:t>
            </w:r>
          </w:p>
        </w:tc>
        <w:tc>
          <w:tcPr>
            <w:tcW w:w="850" w:type="dxa"/>
            <w:shd w:val="clear" w:color="auto" w:fill="auto"/>
            <w:noWrap/>
            <w:hideMark/>
          </w:tcPr>
          <w:p w14:paraId="6D920C4A" w14:textId="77777777" w:rsidR="00C922F7" w:rsidRPr="00097181" w:rsidRDefault="00C922F7" w:rsidP="00713C93">
            <w:r w:rsidRPr="00097181">
              <w:t>18</w:t>
            </w:r>
          </w:p>
        </w:tc>
      </w:tr>
      <w:tr w:rsidR="00C922F7" w:rsidRPr="00097181" w14:paraId="3A22C4EF" w14:textId="77777777" w:rsidTr="001E0B61">
        <w:trPr>
          <w:gridAfter w:val="1"/>
          <w:wAfter w:w="364" w:type="dxa"/>
          <w:trHeight w:val="315"/>
        </w:trPr>
        <w:tc>
          <w:tcPr>
            <w:tcW w:w="3228" w:type="dxa"/>
            <w:shd w:val="clear" w:color="auto" w:fill="auto"/>
            <w:noWrap/>
            <w:hideMark/>
          </w:tcPr>
          <w:p w14:paraId="54530BC0" w14:textId="77777777" w:rsidR="00C922F7" w:rsidRPr="00097181" w:rsidRDefault="00C922F7" w:rsidP="00713C93">
            <w:pPr>
              <w:rPr>
                <w:lang w:val="es-EC"/>
              </w:rPr>
            </w:pPr>
            <w:r w:rsidRPr="00097181">
              <w:rPr>
                <w:lang w:val="es-EC"/>
              </w:rPr>
              <w:t>Pontificia Universidad Católica del Ecuador</w:t>
            </w:r>
          </w:p>
        </w:tc>
        <w:tc>
          <w:tcPr>
            <w:tcW w:w="999" w:type="dxa"/>
            <w:shd w:val="clear" w:color="auto" w:fill="auto"/>
            <w:noWrap/>
            <w:hideMark/>
          </w:tcPr>
          <w:p w14:paraId="10F69992" w14:textId="77777777" w:rsidR="00C922F7" w:rsidRPr="00097181" w:rsidRDefault="00C922F7" w:rsidP="00713C93">
            <w:r w:rsidRPr="00097181">
              <w:t>757</w:t>
            </w:r>
          </w:p>
        </w:tc>
        <w:tc>
          <w:tcPr>
            <w:tcW w:w="985" w:type="dxa"/>
            <w:shd w:val="clear" w:color="auto" w:fill="auto"/>
            <w:noWrap/>
            <w:hideMark/>
          </w:tcPr>
          <w:p w14:paraId="5F6E4131" w14:textId="77777777" w:rsidR="00C922F7" w:rsidRPr="00097181" w:rsidRDefault="00C922F7" w:rsidP="00713C93">
            <w:r w:rsidRPr="00097181">
              <w:t>2 (10)</w:t>
            </w:r>
          </w:p>
        </w:tc>
        <w:tc>
          <w:tcPr>
            <w:tcW w:w="1175" w:type="dxa"/>
            <w:shd w:val="clear" w:color="auto" w:fill="auto"/>
            <w:noWrap/>
            <w:hideMark/>
          </w:tcPr>
          <w:p w14:paraId="23C7D5C3" w14:textId="77777777" w:rsidR="00C922F7" w:rsidRPr="00097181" w:rsidRDefault="00C922F7" w:rsidP="00713C93">
            <w:r w:rsidRPr="00097181">
              <w:t>1 (11)</w:t>
            </w:r>
          </w:p>
        </w:tc>
        <w:tc>
          <w:tcPr>
            <w:tcW w:w="992" w:type="dxa"/>
            <w:shd w:val="clear" w:color="auto" w:fill="auto"/>
            <w:noWrap/>
            <w:hideMark/>
          </w:tcPr>
          <w:p w14:paraId="44604EF7" w14:textId="77777777" w:rsidR="00C922F7" w:rsidRPr="00097181" w:rsidRDefault="00C922F7" w:rsidP="00713C93">
            <w:r w:rsidRPr="00097181">
              <w:t>2 (10)</w:t>
            </w:r>
          </w:p>
        </w:tc>
        <w:tc>
          <w:tcPr>
            <w:tcW w:w="992" w:type="dxa"/>
            <w:shd w:val="clear" w:color="auto" w:fill="auto"/>
            <w:noWrap/>
            <w:hideMark/>
          </w:tcPr>
          <w:p w14:paraId="3DC22B41" w14:textId="77777777" w:rsidR="00C922F7" w:rsidRPr="00097181" w:rsidRDefault="00C922F7" w:rsidP="00713C93">
            <w:r w:rsidRPr="00097181">
              <w:t>1 (3.1)</w:t>
            </w:r>
          </w:p>
        </w:tc>
        <w:tc>
          <w:tcPr>
            <w:tcW w:w="993" w:type="dxa"/>
            <w:shd w:val="clear" w:color="auto" w:fill="auto"/>
            <w:noWrap/>
            <w:hideMark/>
          </w:tcPr>
          <w:p w14:paraId="5D022811" w14:textId="77777777" w:rsidR="00C922F7" w:rsidRPr="00097181" w:rsidRDefault="00C922F7" w:rsidP="00713C93">
            <w:r w:rsidRPr="00097181">
              <w:t>1 (2.5)</w:t>
            </w:r>
          </w:p>
        </w:tc>
        <w:tc>
          <w:tcPr>
            <w:tcW w:w="992" w:type="dxa"/>
            <w:shd w:val="clear" w:color="auto" w:fill="auto"/>
            <w:noWrap/>
            <w:hideMark/>
          </w:tcPr>
          <w:p w14:paraId="36C7EAA5" w14:textId="77777777" w:rsidR="00C922F7" w:rsidRPr="00097181" w:rsidRDefault="00C922F7" w:rsidP="00713C93">
            <w:r w:rsidRPr="00097181">
              <w:t>1 (12)</w:t>
            </w:r>
          </w:p>
        </w:tc>
        <w:tc>
          <w:tcPr>
            <w:tcW w:w="850" w:type="dxa"/>
            <w:shd w:val="clear" w:color="auto" w:fill="auto"/>
            <w:noWrap/>
            <w:hideMark/>
          </w:tcPr>
          <w:p w14:paraId="2E8186F2" w14:textId="77777777" w:rsidR="00C922F7" w:rsidRPr="00097181" w:rsidRDefault="00C922F7" w:rsidP="00713C93">
            <w:r w:rsidRPr="00097181">
              <w:t>19</w:t>
            </w:r>
          </w:p>
        </w:tc>
      </w:tr>
      <w:tr w:rsidR="00C922F7" w:rsidRPr="00097181" w14:paraId="4546CC96" w14:textId="77777777" w:rsidTr="001E0B61">
        <w:trPr>
          <w:gridAfter w:val="1"/>
          <w:wAfter w:w="364" w:type="dxa"/>
          <w:trHeight w:val="315"/>
        </w:trPr>
        <w:tc>
          <w:tcPr>
            <w:tcW w:w="3228" w:type="dxa"/>
            <w:shd w:val="clear" w:color="auto" w:fill="auto"/>
            <w:noWrap/>
            <w:hideMark/>
          </w:tcPr>
          <w:p w14:paraId="62E9E88D" w14:textId="77777777" w:rsidR="00C922F7" w:rsidRPr="00097181" w:rsidRDefault="00C922F7" w:rsidP="00713C93">
            <w:r w:rsidRPr="00097181">
              <w:t xml:space="preserve">Escuela </w:t>
            </w:r>
            <w:proofErr w:type="spellStart"/>
            <w:r w:rsidRPr="00097181">
              <w:t>Politécnica</w:t>
            </w:r>
            <w:proofErr w:type="spellEnd"/>
            <w:r w:rsidRPr="00097181">
              <w:t xml:space="preserve"> Nacional</w:t>
            </w:r>
          </w:p>
        </w:tc>
        <w:tc>
          <w:tcPr>
            <w:tcW w:w="999" w:type="dxa"/>
            <w:shd w:val="clear" w:color="auto" w:fill="auto"/>
            <w:noWrap/>
            <w:hideMark/>
          </w:tcPr>
          <w:p w14:paraId="428B605C" w14:textId="77777777" w:rsidR="00C922F7" w:rsidRPr="00097181" w:rsidRDefault="00C922F7" w:rsidP="00713C93">
            <w:r w:rsidRPr="00097181">
              <w:t>619</w:t>
            </w:r>
          </w:p>
        </w:tc>
        <w:tc>
          <w:tcPr>
            <w:tcW w:w="985" w:type="dxa"/>
            <w:shd w:val="clear" w:color="auto" w:fill="auto"/>
            <w:noWrap/>
            <w:hideMark/>
          </w:tcPr>
          <w:p w14:paraId="77FC7BEA" w14:textId="77777777" w:rsidR="00C922F7" w:rsidRPr="00097181" w:rsidRDefault="00C922F7" w:rsidP="00713C93">
            <w:r w:rsidRPr="00097181">
              <w:t>3 (7.9)</w:t>
            </w:r>
          </w:p>
        </w:tc>
        <w:tc>
          <w:tcPr>
            <w:tcW w:w="1175" w:type="dxa"/>
            <w:shd w:val="clear" w:color="auto" w:fill="auto"/>
            <w:noWrap/>
            <w:hideMark/>
          </w:tcPr>
          <w:p w14:paraId="2C2ABFB0" w14:textId="77777777" w:rsidR="00C922F7" w:rsidRPr="00097181" w:rsidRDefault="00C922F7" w:rsidP="00713C93">
            <w:r w:rsidRPr="00097181">
              <w:t>3 (7.0)</w:t>
            </w:r>
          </w:p>
        </w:tc>
        <w:tc>
          <w:tcPr>
            <w:tcW w:w="992" w:type="dxa"/>
            <w:shd w:val="clear" w:color="auto" w:fill="auto"/>
            <w:noWrap/>
            <w:hideMark/>
          </w:tcPr>
          <w:p w14:paraId="7F088A31" w14:textId="77777777" w:rsidR="00C922F7" w:rsidRPr="00097181" w:rsidRDefault="00C922F7" w:rsidP="00713C93">
            <w:r w:rsidRPr="00097181">
              <w:t>6 (8.0)</w:t>
            </w:r>
          </w:p>
        </w:tc>
        <w:tc>
          <w:tcPr>
            <w:tcW w:w="992" w:type="dxa"/>
            <w:shd w:val="clear" w:color="auto" w:fill="auto"/>
            <w:noWrap/>
            <w:hideMark/>
          </w:tcPr>
          <w:p w14:paraId="05AA700B" w14:textId="77777777" w:rsidR="00C922F7" w:rsidRPr="00097181" w:rsidRDefault="00C922F7" w:rsidP="00713C93">
            <w:r w:rsidRPr="00097181">
              <w:t>2 (2.3)</w:t>
            </w:r>
          </w:p>
        </w:tc>
        <w:tc>
          <w:tcPr>
            <w:tcW w:w="993" w:type="dxa"/>
            <w:shd w:val="clear" w:color="auto" w:fill="auto"/>
            <w:noWrap/>
            <w:hideMark/>
          </w:tcPr>
          <w:p w14:paraId="7698FB62" w14:textId="77777777" w:rsidR="00C922F7" w:rsidRPr="00097181" w:rsidRDefault="00C922F7" w:rsidP="00713C93">
            <w:r w:rsidRPr="00097181">
              <w:t>3 (1.6)</w:t>
            </w:r>
          </w:p>
        </w:tc>
        <w:tc>
          <w:tcPr>
            <w:tcW w:w="992" w:type="dxa"/>
            <w:shd w:val="clear" w:color="auto" w:fill="auto"/>
            <w:noWrap/>
            <w:hideMark/>
          </w:tcPr>
          <w:p w14:paraId="65F0D0F1" w14:textId="77777777" w:rsidR="00C922F7" w:rsidRPr="00097181" w:rsidRDefault="00C922F7" w:rsidP="00713C93">
            <w:r w:rsidRPr="00097181">
              <w:t>2 (9.0)</w:t>
            </w:r>
          </w:p>
        </w:tc>
        <w:tc>
          <w:tcPr>
            <w:tcW w:w="850" w:type="dxa"/>
            <w:shd w:val="clear" w:color="auto" w:fill="auto"/>
            <w:noWrap/>
            <w:hideMark/>
          </w:tcPr>
          <w:p w14:paraId="628C8E95" w14:textId="77777777" w:rsidR="00C922F7" w:rsidRPr="00097181" w:rsidRDefault="00C922F7" w:rsidP="00713C93">
            <w:r w:rsidRPr="00097181">
              <w:t>13</w:t>
            </w:r>
          </w:p>
        </w:tc>
      </w:tr>
      <w:tr w:rsidR="00C922F7" w:rsidRPr="00097181" w14:paraId="31FF0F43" w14:textId="77777777" w:rsidTr="001E0B61">
        <w:trPr>
          <w:gridAfter w:val="1"/>
          <w:wAfter w:w="364" w:type="dxa"/>
          <w:trHeight w:val="315"/>
        </w:trPr>
        <w:tc>
          <w:tcPr>
            <w:tcW w:w="3228" w:type="dxa"/>
            <w:shd w:val="clear" w:color="auto" w:fill="auto"/>
            <w:noWrap/>
            <w:hideMark/>
          </w:tcPr>
          <w:p w14:paraId="482363E5" w14:textId="77777777" w:rsidR="00C922F7" w:rsidRPr="00097181" w:rsidRDefault="00C922F7" w:rsidP="00713C93">
            <w:r w:rsidRPr="00097181">
              <w:t xml:space="preserve">Escuela Super </w:t>
            </w:r>
            <w:proofErr w:type="spellStart"/>
            <w:r w:rsidRPr="00097181">
              <w:t>Politécnica</w:t>
            </w:r>
            <w:proofErr w:type="spellEnd"/>
            <w:r w:rsidRPr="00097181">
              <w:t xml:space="preserve"> </w:t>
            </w:r>
            <w:proofErr w:type="spellStart"/>
            <w:r w:rsidRPr="00097181">
              <w:t>Litoral</w:t>
            </w:r>
            <w:proofErr w:type="spellEnd"/>
          </w:p>
        </w:tc>
        <w:tc>
          <w:tcPr>
            <w:tcW w:w="999" w:type="dxa"/>
            <w:shd w:val="clear" w:color="auto" w:fill="auto"/>
            <w:noWrap/>
            <w:hideMark/>
          </w:tcPr>
          <w:p w14:paraId="10BC1406" w14:textId="77777777" w:rsidR="00C922F7" w:rsidRPr="00097181" w:rsidRDefault="00C922F7" w:rsidP="00713C93">
            <w:r w:rsidRPr="00097181">
              <w:t>389</w:t>
            </w:r>
          </w:p>
        </w:tc>
        <w:tc>
          <w:tcPr>
            <w:tcW w:w="985" w:type="dxa"/>
            <w:shd w:val="clear" w:color="auto" w:fill="auto"/>
            <w:noWrap/>
            <w:hideMark/>
          </w:tcPr>
          <w:p w14:paraId="1A58D6C4" w14:textId="77777777" w:rsidR="00C922F7" w:rsidRPr="00097181" w:rsidRDefault="00C922F7" w:rsidP="00713C93">
            <w:r w:rsidRPr="00097181">
              <w:t>4 (5.0)</w:t>
            </w:r>
          </w:p>
        </w:tc>
        <w:tc>
          <w:tcPr>
            <w:tcW w:w="1175" w:type="dxa"/>
            <w:shd w:val="clear" w:color="auto" w:fill="auto"/>
            <w:noWrap/>
            <w:hideMark/>
          </w:tcPr>
          <w:p w14:paraId="5D33D39A" w14:textId="77777777" w:rsidR="00C922F7" w:rsidRPr="00097181" w:rsidRDefault="00C922F7" w:rsidP="00713C93">
            <w:r w:rsidRPr="00097181">
              <w:t>7 (3.6)</w:t>
            </w:r>
          </w:p>
        </w:tc>
        <w:tc>
          <w:tcPr>
            <w:tcW w:w="992" w:type="dxa"/>
            <w:shd w:val="clear" w:color="auto" w:fill="auto"/>
            <w:noWrap/>
            <w:hideMark/>
          </w:tcPr>
          <w:p w14:paraId="28498FD7" w14:textId="77777777" w:rsidR="00C922F7" w:rsidRPr="00097181" w:rsidRDefault="00C922F7" w:rsidP="00713C93">
            <w:r w:rsidRPr="00097181">
              <w:t>67 (5.1)</w:t>
            </w:r>
          </w:p>
        </w:tc>
        <w:tc>
          <w:tcPr>
            <w:tcW w:w="992" w:type="dxa"/>
            <w:shd w:val="clear" w:color="auto" w:fill="auto"/>
            <w:noWrap/>
            <w:hideMark/>
          </w:tcPr>
          <w:p w14:paraId="291FFD3B" w14:textId="77777777" w:rsidR="00C922F7" w:rsidRPr="00097181" w:rsidRDefault="00C922F7" w:rsidP="00713C93">
            <w:r w:rsidRPr="00097181">
              <w:t>5 (1.5)</w:t>
            </w:r>
          </w:p>
        </w:tc>
        <w:tc>
          <w:tcPr>
            <w:tcW w:w="993" w:type="dxa"/>
            <w:shd w:val="clear" w:color="auto" w:fill="auto"/>
            <w:noWrap/>
            <w:hideMark/>
          </w:tcPr>
          <w:p w14:paraId="4B4276E8" w14:textId="77777777" w:rsidR="00C922F7" w:rsidRPr="00097181" w:rsidRDefault="00C922F7" w:rsidP="00713C93">
            <w:r w:rsidRPr="00097181">
              <w:t>8 (0.68)</w:t>
            </w:r>
          </w:p>
        </w:tc>
        <w:tc>
          <w:tcPr>
            <w:tcW w:w="992" w:type="dxa"/>
            <w:shd w:val="clear" w:color="auto" w:fill="auto"/>
            <w:noWrap/>
            <w:hideMark/>
          </w:tcPr>
          <w:p w14:paraId="4FD87E25" w14:textId="77777777" w:rsidR="00C922F7" w:rsidRPr="00097181" w:rsidRDefault="00C922F7" w:rsidP="00713C93">
            <w:r w:rsidRPr="00097181">
              <w:t>11 (1.8)</w:t>
            </w:r>
          </w:p>
        </w:tc>
        <w:tc>
          <w:tcPr>
            <w:tcW w:w="850" w:type="dxa"/>
            <w:shd w:val="clear" w:color="auto" w:fill="auto"/>
            <w:noWrap/>
            <w:hideMark/>
          </w:tcPr>
          <w:p w14:paraId="3F6C1F71" w14:textId="77777777" w:rsidR="00C922F7" w:rsidRPr="00097181" w:rsidRDefault="00C922F7" w:rsidP="00713C93">
            <w:r w:rsidRPr="00097181">
              <w:t>11</w:t>
            </w:r>
          </w:p>
        </w:tc>
      </w:tr>
      <w:tr w:rsidR="00C922F7" w:rsidRPr="00097181" w14:paraId="65EF3CA0" w14:textId="77777777" w:rsidTr="001E0B61">
        <w:trPr>
          <w:gridAfter w:val="1"/>
          <w:wAfter w:w="364" w:type="dxa"/>
          <w:trHeight w:val="315"/>
        </w:trPr>
        <w:tc>
          <w:tcPr>
            <w:tcW w:w="3228" w:type="dxa"/>
            <w:shd w:val="clear" w:color="auto" w:fill="auto"/>
            <w:noWrap/>
            <w:hideMark/>
          </w:tcPr>
          <w:p w14:paraId="20F955AF" w14:textId="77777777" w:rsidR="00C922F7" w:rsidRPr="00097181" w:rsidRDefault="00C922F7" w:rsidP="00713C93">
            <w:r w:rsidRPr="00097181">
              <w:t>Universidad Técnica Particular Loja</w:t>
            </w:r>
          </w:p>
        </w:tc>
        <w:tc>
          <w:tcPr>
            <w:tcW w:w="999" w:type="dxa"/>
            <w:shd w:val="clear" w:color="auto" w:fill="auto"/>
            <w:noWrap/>
            <w:hideMark/>
          </w:tcPr>
          <w:p w14:paraId="1858D3F9" w14:textId="77777777" w:rsidR="00C922F7" w:rsidRPr="00097181" w:rsidRDefault="00C922F7" w:rsidP="00713C93">
            <w:r w:rsidRPr="00097181">
              <w:t>368</w:t>
            </w:r>
          </w:p>
        </w:tc>
        <w:tc>
          <w:tcPr>
            <w:tcW w:w="985" w:type="dxa"/>
            <w:shd w:val="clear" w:color="auto" w:fill="auto"/>
            <w:noWrap/>
            <w:hideMark/>
          </w:tcPr>
          <w:p w14:paraId="22C8B02E" w14:textId="77777777" w:rsidR="00C922F7" w:rsidRPr="00097181" w:rsidRDefault="00C922F7" w:rsidP="00713C93">
            <w:r w:rsidRPr="00097181">
              <w:t>5 (4.7)</w:t>
            </w:r>
          </w:p>
        </w:tc>
        <w:tc>
          <w:tcPr>
            <w:tcW w:w="1175" w:type="dxa"/>
            <w:shd w:val="clear" w:color="auto" w:fill="auto"/>
            <w:noWrap/>
            <w:hideMark/>
          </w:tcPr>
          <w:p w14:paraId="081B9B72" w14:textId="77777777" w:rsidR="00C922F7" w:rsidRPr="00097181" w:rsidRDefault="00C922F7" w:rsidP="00713C93">
            <w:r w:rsidRPr="00097181">
              <w:t>2 (8.6)</w:t>
            </w:r>
          </w:p>
        </w:tc>
        <w:tc>
          <w:tcPr>
            <w:tcW w:w="992" w:type="dxa"/>
            <w:shd w:val="clear" w:color="auto" w:fill="auto"/>
            <w:noWrap/>
            <w:hideMark/>
          </w:tcPr>
          <w:p w14:paraId="262729E0" w14:textId="77777777" w:rsidR="00C922F7" w:rsidRPr="00097181" w:rsidRDefault="00C922F7" w:rsidP="00713C93">
            <w:r w:rsidRPr="00097181">
              <w:t>80 (4.3)</w:t>
            </w:r>
          </w:p>
        </w:tc>
        <w:tc>
          <w:tcPr>
            <w:tcW w:w="992" w:type="dxa"/>
            <w:shd w:val="clear" w:color="auto" w:fill="auto"/>
            <w:noWrap/>
            <w:hideMark/>
          </w:tcPr>
          <w:p w14:paraId="477E3876" w14:textId="77777777" w:rsidR="00C922F7" w:rsidRPr="00097181" w:rsidRDefault="00C922F7" w:rsidP="00713C93">
            <w:r w:rsidRPr="00097181">
              <w:t>3 (2.1)</w:t>
            </w:r>
          </w:p>
        </w:tc>
        <w:tc>
          <w:tcPr>
            <w:tcW w:w="993" w:type="dxa"/>
            <w:shd w:val="clear" w:color="auto" w:fill="auto"/>
            <w:noWrap/>
            <w:hideMark/>
          </w:tcPr>
          <w:p w14:paraId="5048E8A6" w14:textId="77777777" w:rsidR="00C922F7" w:rsidRPr="00097181" w:rsidRDefault="00C922F7" w:rsidP="00713C93">
            <w:r w:rsidRPr="00097181">
              <w:t>2 (2.0)</w:t>
            </w:r>
          </w:p>
        </w:tc>
        <w:tc>
          <w:tcPr>
            <w:tcW w:w="992" w:type="dxa"/>
            <w:shd w:val="clear" w:color="auto" w:fill="auto"/>
            <w:noWrap/>
            <w:hideMark/>
          </w:tcPr>
          <w:p w14:paraId="181203B8" w14:textId="77777777" w:rsidR="00C922F7" w:rsidRPr="00097181" w:rsidRDefault="00C922F7" w:rsidP="00713C93">
            <w:r w:rsidRPr="00097181">
              <w:t>4 (3.6)</w:t>
            </w:r>
          </w:p>
        </w:tc>
        <w:tc>
          <w:tcPr>
            <w:tcW w:w="850" w:type="dxa"/>
            <w:shd w:val="clear" w:color="auto" w:fill="auto"/>
            <w:noWrap/>
            <w:hideMark/>
          </w:tcPr>
          <w:p w14:paraId="06257467" w14:textId="77777777" w:rsidR="00C922F7" w:rsidRPr="00097181" w:rsidRDefault="00C922F7" w:rsidP="00713C93">
            <w:r w:rsidRPr="00097181">
              <w:t>7</w:t>
            </w:r>
          </w:p>
        </w:tc>
      </w:tr>
      <w:tr w:rsidR="00C922F7" w:rsidRPr="00097181" w14:paraId="0AD69147" w14:textId="77777777" w:rsidTr="001E0B61">
        <w:trPr>
          <w:gridAfter w:val="1"/>
          <w:wAfter w:w="364" w:type="dxa"/>
          <w:trHeight w:val="315"/>
        </w:trPr>
        <w:tc>
          <w:tcPr>
            <w:tcW w:w="3228" w:type="dxa"/>
            <w:shd w:val="clear" w:color="auto" w:fill="auto"/>
            <w:noWrap/>
            <w:hideMark/>
          </w:tcPr>
          <w:p w14:paraId="25F5C295" w14:textId="77777777" w:rsidR="00C922F7" w:rsidRPr="00097181" w:rsidRDefault="00C922F7" w:rsidP="00713C93">
            <w:r w:rsidRPr="00097181">
              <w:t>Charles Darwin Research Station</w:t>
            </w:r>
          </w:p>
        </w:tc>
        <w:tc>
          <w:tcPr>
            <w:tcW w:w="999" w:type="dxa"/>
            <w:shd w:val="clear" w:color="auto" w:fill="auto"/>
            <w:noWrap/>
            <w:hideMark/>
          </w:tcPr>
          <w:p w14:paraId="60369CA7" w14:textId="77777777" w:rsidR="00C922F7" w:rsidRPr="00097181" w:rsidRDefault="00C922F7" w:rsidP="00713C93">
            <w:r w:rsidRPr="00097181">
              <w:t>354</w:t>
            </w:r>
          </w:p>
        </w:tc>
        <w:tc>
          <w:tcPr>
            <w:tcW w:w="985" w:type="dxa"/>
            <w:shd w:val="clear" w:color="auto" w:fill="auto"/>
            <w:noWrap/>
            <w:hideMark/>
          </w:tcPr>
          <w:p w14:paraId="2A249A4C" w14:textId="77777777" w:rsidR="00C922F7" w:rsidRPr="00097181" w:rsidRDefault="00C922F7" w:rsidP="00713C93">
            <w:r w:rsidRPr="00097181">
              <w:t>6 (4.5)</w:t>
            </w:r>
          </w:p>
        </w:tc>
        <w:tc>
          <w:tcPr>
            <w:tcW w:w="1175" w:type="dxa"/>
            <w:shd w:val="clear" w:color="auto" w:fill="auto"/>
            <w:noWrap/>
            <w:hideMark/>
          </w:tcPr>
          <w:p w14:paraId="5940111A" w14:textId="77777777" w:rsidR="00C922F7" w:rsidRPr="00097181" w:rsidRDefault="00C922F7" w:rsidP="00713C93">
            <w:r w:rsidRPr="00097181">
              <w:t>4 (4.5)</w:t>
            </w:r>
          </w:p>
        </w:tc>
        <w:tc>
          <w:tcPr>
            <w:tcW w:w="992" w:type="dxa"/>
            <w:shd w:val="clear" w:color="auto" w:fill="auto"/>
            <w:noWrap/>
            <w:hideMark/>
          </w:tcPr>
          <w:p w14:paraId="09DCF4D4" w14:textId="77777777" w:rsidR="00C922F7" w:rsidRPr="00097181" w:rsidRDefault="00C922F7" w:rsidP="00713C93">
            <w:r w:rsidRPr="00097181">
              <w:t>77 (4.5)</w:t>
            </w:r>
          </w:p>
        </w:tc>
        <w:tc>
          <w:tcPr>
            <w:tcW w:w="992" w:type="dxa"/>
            <w:shd w:val="clear" w:color="auto" w:fill="auto"/>
            <w:noWrap/>
            <w:hideMark/>
          </w:tcPr>
          <w:p w14:paraId="7CA92F72" w14:textId="77777777" w:rsidR="00C922F7" w:rsidRPr="00097181" w:rsidRDefault="00C922F7" w:rsidP="00713C93">
            <w:r w:rsidRPr="00097181">
              <w:t>7 (1.2)</w:t>
            </w:r>
          </w:p>
        </w:tc>
        <w:tc>
          <w:tcPr>
            <w:tcW w:w="993" w:type="dxa"/>
            <w:shd w:val="clear" w:color="auto" w:fill="auto"/>
            <w:noWrap/>
            <w:hideMark/>
          </w:tcPr>
          <w:p w14:paraId="018E1EBB" w14:textId="77777777" w:rsidR="00C922F7" w:rsidRPr="00097181" w:rsidRDefault="00C922F7" w:rsidP="00713C93">
            <w:r w:rsidRPr="00097181">
              <w:t>7 (0.70)</w:t>
            </w:r>
          </w:p>
        </w:tc>
        <w:tc>
          <w:tcPr>
            <w:tcW w:w="992" w:type="dxa"/>
            <w:shd w:val="clear" w:color="auto" w:fill="auto"/>
            <w:noWrap/>
            <w:hideMark/>
          </w:tcPr>
          <w:p w14:paraId="443D9837" w14:textId="77777777" w:rsidR="00C922F7" w:rsidRPr="00097181" w:rsidRDefault="00C922F7" w:rsidP="00713C93">
            <w:r w:rsidRPr="00097181">
              <w:t>3 (8.1)</w:t>
            </w:r>
          </w:p>
        </w:tc>
        <w:tc>
          <w:tcPr>
            <w:tcW w:w="850" w:type="dxa"/>
            <w:shd w:val="clear" w:color="auto" w:fill="auto"/>
            <w:noWrap/>
            <w:hideMark/>
          </w:tcPr>
          <w:p w14:paraId="0A055D3D" w14:textId="77777777" w:rsidR="00C922F7" w:rsidRPr="00097181" w:rsidRDefault="00C922F7" w:rsidP="00713C93">
            <w:r w:rsidRPr="00097181">
              <w:t>21</w:t>
            </w:r>
          </w:p>
        </w:tc>
      </w:tr>
      <w:tr w:rsidR="00C922F7" w:rsidRPr="00097181" w14:paraId="0ACFA070" w14:textId="77777777" w:rsidTr="001E0B61">
        <w:trPr>
          <w:gridAfter w:val="1"/>
          <w:wAfter w:w="364" w:type="dxa"/>
          <w:trHeight w:val="315"/>
        </w:trPr>
        <w:tc>
          <w:tcPr>
            <w:tcW w:w="3228" w:type="dxa"/>
            <w:shd w:val="clear" w:color="auto" w:fill="auto"/>
            <w:noWrap/>
            <w:hideMark/>
          </w:tcPr>
          <w:p w14:paraId="64901966" w14:textId="77777777" w:rsidR="00C922F7" w:rsidRPr="00097181" w:rsidRDefault="00C922F7" w:rsidP="00713C93">
            <w:r w:rsidRPr="00097181">
              <w:t>Universidad Central del Ecuador</w:t>
            </w:r>
          </w:p>
        </w:tc>
        <w:tc>
          <w:tcPr>
            <w:tcW w:w="999" w:type="dxa"/>
            <w:shd w:val="clear" w:color="auto" w:fill="auto"/>
            <w:noWrap/>
            <w:hideMark/>
          </w:tcPr>
          <w:p w14:paraId="072B3846" w14:textId="77777777" w:rsidR="00C922F7" w:rsidRPr="00097181" w:rsidRDefault="00C922F7" w:rsidP="00713C93">
            <w:r w:rsidRPr="00097181">
              <w:t>326</w:t>
            </w:r>
          </w:p>
        </w:tc>
        <w:tc>
          <w:tcPr>
            <w:tcW w:w="985" w:type="dxa"/>
            <w:shd w:val="clear" w:color="auto" w:fill="auto"/>
            <w:noWrap/>
            <w:hideMark/>
          </w:tcPr>
          <w:p w14:paraId="201A7D38" w14:textId="77777777" w:rsidR="00C922F7" w:rsidRPr="00097181" w:rsidRDefault="00C922F7" w:rsidP="00713C93">
            <w:r w:rsidRPr="00097181">
              <w:t>7 (4.2)</w:t>
            </w:r>
          </w:p>
        </w:tc>
        <w:tc>
          <w:tcPr>
            <w:tcW w:w="1175" w:type="dxa"/>
            <w:shd w:val="clear" w:color="auto" w:fill="auto"/>
            <w:noWrap/>
            <w:hideMark/>
          </w:tcPr>
          <w:p w14:paraId="33429221" w14:textId="77777777" w:rsidR="00C922F7" w:rsidRPr="00097181" w:rsidRDefault="00C922F7" w:rsidP="00713C93">
            <w:r w:rsidRPr="00097181">
              <w:t>14 (1.7)</w:t>
            </w:r>
          </w:p>
        </w:tc>
        <w:tc>
          <w:tcPr>
            <w:tcW w:w="992" w:type="dxa"/>
            <w:shd w:val="clear" w:color="auto" w:fill="auto"/>
            <w:noWrap/>
            <w:hideMark/>
          </w:tcPr>
          <w:p w14:paraId="1BECCC17" w14:textId="77777777" w:rsidR="00C922F7" w:rsidRPr="00097181" w:rsidRDefault="00C922F7" w:rsidP="00713C93">
            <w:r w:rsidRPr="00097181">
              <w:t>79 (4.4)</w:t>
            </w:r>
          </w:p>
        </w:tc>
        <w:tc>
          <w:tcPr>
            <w:tcW w:w="992" w:type="dxa"/>
            <w:shd w:val="clear" w:color="auto" w:fill="auto"/>
            <w:noWrap/>
            <w:hideMark/>
          </w:tcPr>
          <w:p w14:paraId="665E487F" w14:textId="77777777" w:rsidR="00C922F7" w:rsidRPr="00097181" w:rsidRDefault="00C922F7" w:rsidP="00713C93">
            <w:r w:rsidRPr="00097181">
              <w:t>8 (0.92)</w:t>
            </w:r>
          </w:p>
        </w:tc>
        <w:tc>
          <w:tcPr>
            <w:tcW w:w="993" w:type="dxa"/>
            <w:shd w:val="clear" w:color="auto" w:fill="auto"/>
            <w:noWrap/>
            <w:hideMark/>
          </w:tcPr>
          <w:p w14:paraId="4A102E8A" w14:textId="77777777" w:rsidR="00C922F7" w:rsidRPr="00097181" w:rsidRDefault="00C922F7" w:rsidP="00713C93">
            <w:r w:rsidRPr="00097181">
              <w:t>12 (0.53)</w:t>
            </w:r>
          </w:p>
        </w:tc>
        <w:tc>
          <w:tcPr>
            <w:tcW w:w="992" w:type="dxa"/>
            <w:shd w:val="clear" w:color="auto" w:fill="auto"/>
            <w:noWrap/>
            <w:hideMark/>
          </w:tcPr>
          <w:p w14:paraId="69D64E61" w14:textId="77777777" w:rsidR="00C922F7" w:rsidRPr="00097181" w:rsidRDefault="00C922F7" w:rsidP="00713C93">
            <w:r w:rsidRPr="00097181">
              <w:t>13 (1.5)</w:t>
            </w:r>
          </w:p>
        </w:tc>
        <w:tc>
          <w:tcPr>
            <w:tcW w:w="850" w:type="dxa"/>
            <w:shd w:val="clear" w:color="auto" w:fill="auto"/>
            <w:noWrap/>
            <w:hideMark/>
          </w:tcPr>
          <w:p w14:paraId="5D89CECE" w14:textId="77777777" w:rsidR="00C922F7" w:rsidRPr="00097181" w:rsidRDefault="00C922F7" w:rsidP="00713C93">
            <w:r w:rsidRPr="00097181">
              <w:t>15</w:t>
            </w:r>
          </w:p>
        </w:tc>
      </w:tr>
      <w:tr w:rsidR="00C922F7" w:rsidRPr="00097181" w14:paraId="469047D4" w14:textId="77777777" w:rsidTr="001E0B61">
        <w:trPr>
          <w:gridAfter w:val="1"/>
          <w:wAfter w:w="364" w:type="dxa"/>
          <w:trHeight w:val="315"/>
        </w:trPr>
        <w:tc>
          <w:tcPr>
            <w:tcW w:w="3228" w:type="dxa"/>
            <w:shd w:val="clear" w:color="auto" w:fill="auto"/>
            <w:noWrap/>
            <w:hideMark/>
          </w:tcPr>
          <w:p w14:paraId="5A4A95DE" w14:textId="77777777" w:rsidR="00C922F7" w:rsidRPr="00097181" w:rsidRDefault="00C922F7" w:rsidP="00713C93">
            <w:r w:rsidRPr="00097181">
              <w:t>Universidad de Cuenca</w:t>
            </w:r>
          </w:p>
        </w:tc>
        <w:tc>
          <w:tcPr>
            <w:tcW w:w="999" w:type="dxa"/>
            <w:shd w:val="clear" w:color="auto" w:fill="auto"/>
            <w:noWrap/>
            <w:hideMark/>
          </w:tcPr>
          <w:p w14:paraId="7A6453CA" w14:textId="77777777" w:rsidR="00C922F7" w:rsidRPr="00097181" w:rsidRDefault="00C922F7" w:rsidP="00713C93">
            <w:r w:rsidRPr="00097181">
              <w:t>267</w:t>
            </w:r>
          </w:p>
        </w:tc>
        <w:tc>
          <w:tcPr>
            <w:tcW w:w="985" w:type="dxa"/>
            <w:shd w:val="clear" w:color="auto" w:fill="auto"/>
            <w:noWrap/>
            <w:hideMark/>
          </w:tcPr>
          <w:p w14:paraId="75EF6D08" w14:textId="77777777" w:rsidR="00C922F7" w:rsidRPr="00097181" w:rsidRDefault="00C922F7" w:rsidP="00713C93">
            <w:r w:rsidRPr="00097181">
              <w:t>8 (3.4)</w:t>
            </w:r>
          </w:p>
        </w:tc>
        <w:tc>
          <w:tcPr>
            <w:tcW w:w="1175" w:type="dxa"/>
            <w:shd w:val="clear" w:color="auto" w:fill="auto"/>
            <w:noWrap/>
            <w:hideMark/>
          </w:tcPr>
          <w:p w14:paraId="7D36C776" w14:textId="77777777" w:rsidR="00C922F7" w:rsidRPr="00097181" w:rsidRDefault="00C922F7" w:rsidP="00713C93">
            <w:r w:rsidRPr="00097181">
              <w:t>15 (1.5)</w:t>
            </w:r>
          </w:p>
        </w:tc>
        <w:tc>
          <w:tcPr>
            <w:tcW w:w="992" w:type="dxa"/>
            <w:shd w:val="clear" w:color="auto" w:fill="auto"/>
            <w:noWrap/>
            <w:hideMark/>
          </w:tcPr>
          <w:p w14:paraId="398EE7F0" w14:textId="77777777" w:rsidR="00C922F7" w:rsidRPr="00097181" w:rsidRDefault="00C922F7" w:rsidP="00713C93">
            <w:r w:rsidRPr="00097181">
              <w:t>91 (3.6)</w:t>
            </w:r>
          </w:p>
        </w:tc>
        <w:tc>
          <w:tcPr>
            <w:tcW w:w="992" w:type="dxa"/>
            <w:shd w:val="clear" w:color="auto" w:fill="auto"/>
            <w:noWrap/>
            <w:hideMark/>
          </w:tcPr>
          <w:p w14:paraId="3A64B595" w14:textId="77777777" w:rsidR="00C922F7" w:rsidRPr="00097181" w:rsidRDefault="00C922F7" w:rsidP="00713C93">
            <w:r w:rsidRPr="00097181">
              <w:t>9 (0.86)</w:t>
            </w:r>
          </w:p>
        </w:tc>
        <w:tc>
          <w:tcPr>
            <w:tcW w:w="993" w:type="dxa"/>
            <w:shd w:val="clear" w:color="auto" w:fill="auto"/>
            <w:noWrap/>
            <w:hideMark/>
          </w:tcPr>
          <w:p w14:paraId="4496F556" w14:textId="77777777" w:rsidR="00C922F7" w:rsidRPr="00097181" w:rsidRDefault="00C922F7" w:rsidP="00713C93">
            <w:r w:rsidRPr="00097181">
              <w:t>6 (0.85)</w:t>
            </w:r>
          </w:p>
        </w:tc>
        <w:tc>
          <w:tcPr>
            <w:tcW w:w="992" w:type="dxa"/>
            <w:shd w:val="clear" w:color="auto" w:fill="auto"/>
            <w:noWrap/>
            <w:hideMark/>
          </w:tcPr>
          <w:p w14:paraId="6E4EC6C5" w14:textId="77777777" w:rsidR="00C922F7" w:rsidRPr="00097181" w:rsidRDefault="00C922F7" w:rsidP="00713C93">
            <w:r w:rsidRPr="00097181">
              <w:t>19 (0.90)</w:t>
            </w:r>
          </w:p>
        </w:tc>
        <w:tc>
          <w:tcPr>
            <w:tcW w:w="850" w:type="dxa"/>
            <w:shd w:val="clear" w:color="auto" w:fill="auto"/>
            <w:noWrap/>
            <w:hideMark/>
          </w:tcPr>
          <w:p w14:paraId="5F2C6E4C" w14:textId="77777777" w:rsidR="00C922F7" w:rsidRPr="00097181" w:rsidRDefault="00C922F7" w:rsidP="00713C93">
            <w:r w:rsidRPr="00097181">
              <w:t>17</w:t>
            </w:r>
          </w:p>
        </w:tc>
      </w:tr>
      <w:tr w:rsidR="00C922F7" w:rsidRPr="00097181" w14:paraId="16751FAE" w14:textId="77777777" w:rsidTr="001E0B61">
        <w:trPr>
          <w:gridAfter w:val="1"/>
          <w:wAfter w:w="364" w:type="dxa"/>
          <w:trHeight w:val="315"/>
        </w:trPr>
        <w:tc>
          <w:tcPr>
            <w:tcW w:w="3228" w:type="dxa"/>
            <w:shd w:val="clear" w:color="auto" w:fill="auto"/>
            <w:noWrap/>
            <w:hideMark/>
          </w:tcPr>
          <w:p w14:paraId="28207146" w14:textId="77777777" w:rsidR="00C922F7" w:rsidRPr="00097181" w:rsidRDefault="00C922F7" w:rsidP="00713C93">
            <w:pPr>
              <w:rPr>
                <w:lang w:val="es-EC"/>
              </w:rPr>
            </w:pPr>
            <w:r w:rsidRPr="00097181">
              <w:rPr>
                <w:lang w:val="es-EC"/>
              </w:rPr>
              <w:t>Universidad de las Fuerzas Armadas ESPE</w:t>
            </w:r>
          </w:p>
        </w:tc>
        <w:tc>
          <w:tcPr>
            <w:tcW w:w="999" w:type="dxa"/>
            <w:shd w:val="clear" w:color="auto" w:fill="auto"/>
            <w:noWrap/>
            <w:hideMark/>
          </w:tcPr>
          <w:p w14:paraId="7FA65B6C" w14:textId="77777777" w:rsidR="00C922F7" w:rsidRPr="00097181" w:rsidRDefault="00C922F7" w:rsidP="00713C93">
            <w:r w:rsidRPr="00097181">
              <w:t>253</w:t>
            </w:r>
          </w:p>
        </w:tc>
        <w:tc>
          <w:tcPr>
            <w:tcW w:w="985" w:type="dxa"/>
            <w:shd w:val="clear" w:color="auto" w:fill="auto"/>
            <w:noWrap/>
            <w:hideMark/>
          </w:tcPr>
          <w:p w14:paraId="2C0E4C00" w14:textId="77777777" w:rsidR="00C922F7" w:rsidRPr="00097181" w:rsidRDefault="00C922F7" w:rsidP="00713C93">
            <w:r w:rsidRPr="00097181">
              <w:t>9 (3.2)</w:t>
            </w:r>
          </w:p>
        </w:tc>
        <w:tc>
          <w:tcPr>
            <w:tcW w:w="1175" w:type="dxa"/>
            <w:shd w:val="clear" w:color="auto" w:fill="auto"/>
            <w:noWrap/>
            <w:hideMark/>
          </w:tcPr>
          <w:p w14:paraId="3B8668F4" w14:textId="77777777" w:rsidR="00C922F7" w:rsidRPr="00097181" w:rsidRDefault="00C922F7" w:rsidP="00713C93">
            <w:r w:rsidRPr="00097181">
              <w:t>4 (4.5)</w:t>
            </w:r>
          </w:p>
        </w:tc>
        <w:tc>
          <w:tcPr>
            <w:tcW w:w="992" w:type="dxa"/>
            <w:shd w:val="clear" w:color="auto" w:fill="auto"/>
            <w:noWrap/>
            <w:hideMark/>
          </w:tcPr>
          <w:p w14:paraId="2E752106" w14:textId="77777777" w:rsidR="00C922F7" w:rsidRPr="00097181" w:rsidRDefault="00C922F7" w:rsidP="00713C93">
            <w:r w:rsidRPr="00097181">
              <w:t>102 (3.1)</w:t>
            </w:r>
          </w:p>
        </w:tc>
        <w:tc>
          <w:tcPr>
            <w:tcW w:w="992" w:type="dxa"/>
            <w:shd w:val="clear" w:color="auto" w:fill="auto"/>
            <w:noWrap/>
            <w:hideMark/>
          </w:tcPr>
          <w:p w14:paraId="5E80A87D" w14:textId="77777777" w:rsidR="00C922F7" w:rsidRPr="00097181" w:rsidRDefault="00C922F7" w:rsidP="00713C93">
            <w:r w:rsidRPr="00097181">
              <w:t>6 (1.3)</w:t>
            </w:r>
          </w:p>
        </w:tc>
        <w:tc>
          <w:tcPr>
            <w:tcW w:w="993" w:type="dxa"/>
            <w:shd w:val="clear" w:color="auto" w:fill="auto"/>
            <w:noWrap/>
            <w:hideMark/>
          </w:tcPr>
          <w:p w14:paraId="08CC9DED" w14:textId="77777777" w:rsidR="00C922F7" w:rsidRPr="00097181" w:rsidRDefault="00C922F7" w:rsidP="00713C93">
            <w:r w:rsidRPr="00097181">
              <w:t>5 (1.0)</w:t>
            </w:r>
          </w:p>
        </w:tc>
        <w:tc>
          <w:tcPr>
            <w:tcW w:w="992" w:type="dxa"/>
            <w:shd w:val="clear" w:color="auto" w:fill="auto"/>
            <w:noWrap/>
            <w:hideMark/>
          </w:tcPr>
          <w:p w14:paraId="2CD350C2" w14:textId="77777777" w:rsidR="00C922F7" w:rsidRPr="00097181" w:rsidRDefault="00C922F7" w:rsidP="00713C93">
            <w:r w:rsidRPr="00097181">
              <w:t>10 (2.4)</w:t>
            </w:r>
          </w:p>
        </w:tc>
        <w:tc>
          <w:tcPr>
            <w:tcW w:w="850" w:type="dxa"/>
            <w:shd w:val="clear" w:color="auto" w:fill="auto"/>
            <w:noWrap/>
            <w:hideMark/>
          </w:tcPr>
          <w:p w14:paraId="41CDFD24" w14:textId="77777777" w:rsidR="00C922F7" w:rsidRPr="00097181" w:rsidRDefault="00C922F7" w:rsidP="00713C93">
            <w:r w:rsidRPr="00097181">
              <w:t>4.5</w:t>
            </w:r>
          </w:p>
        </w:tc>
      </w:tr>
      <w:tr w:rsidR="00C922F7" w:rsidRPr="00097181" w14:paraId="1635FCDC" w14:textId="77777777" w:rsidTr="001E0B61">
        <w:trPr>
          <w:gridAfter w:val="1"/>
          <w:wAfter w:w="364" w:type="dxa"/>
          <w:trHeight w:val="315"/>
        </w:trPr>
        <w:tc>
          <w:tcPr>
            <w:tcW w:w="3228" w:type="dxa"/>
            <w:shd w:val="clear" w:color="auto" w:fill="auto"/>
            <w:noWrap/>
            <w:hideMark/>
          </w:tcPr>
          <w:p w14:paraId="264D0245" w14:textId="77777777" w:rsidR="00C922F7" w:rsidRPr="00097181" w:rsidRDefault="00C922F7" w:rsidP="00713C93">
            <w:pPr>
              <w:rPr>
                <w:lang w:val="es-EC"/>
              </w:rPr>
            </w:pPr>
            <w:r w:rsidRPr="00097181">
              <w:rPr>
                <w:lang w:val="es-EC"/>
              </w:rPr>
              <w:t>Universidad Católica Santiago de Guayaquil</w:t>
            </w:r>
          </w:p>
        </w:tc>
        <w:tc>
          <w:tcPr>
            <w:tcW w:w="999" w:type="dxa"/>
            <w:shd w:val="clear" w:color="auto" w:fill="auto"/>
            <w:noWrap/>
            <w:hideMark/>
          </w:tcPr>
          <w:p w14:paraId="735CE369" w14:textId="77777777" w:rsidR="00C922F7" w:rsidRPr="00097181" w:rsidRDefault="00C922F7" w:rsidP="00713C93">
            <w:r w:rsidRPr="00097181">
              <w:t>159</w:t>
            </w:r>
          </w:p>
        </w:tc>
        <w:tc>
          <w:tcPr>
            <w:tcW w:w="985" w:type="dxa"/>
            <w:shd w:val="clear" w:color="auto" w:fill="auto"/>
            <w:noWrap/>
            <w:hideMark/>
          </w:tcPr>
          <w:p w14:paraId="4D8D24E3" w14:textId="77777777" w:rsidR="00C922F7" w:rsidRPr="00097181" w:rsidRDefault="00C922F7" w:rsidP="00713C93">
            <w:r w:rsidRPr="00097181">
              <w:t>10 (2.0)</w:t>
            </w:r>
          </w:p>
        </w:tc>
        <w:tc>
          <w:tcPr>
            <w:tcW w:w="1175" w:type="dxa"/>
            <w:shd w:val="clear" w:color="auto" w:fill="auto"/>
            <w:noWrap/>
            <w:hideMark/>
          </w:tcPr>
          <w:p w14:paraId="3ACCE81D" w14:textId="77777777" w:rsidR="00C922F7" w:rsidRPr="00097181" w:rsidRDefault="00C922F7" w:rsidP="00713C93">
            <w:r w:rsidRPr="00097181">
              <w:t>10 (2.1)</w:t>
            </w:r>
          </w:p>
        </w:tc>
        <w:tc>
          <w:tcPr>
            <w:tcW w:w="992" w:type="dxa"/>
            <w:shd w:val="clear" w:color="auto" w:fill="auto"/>
            <w:noWrap/>
            <w:hideMark/>
          </w:tcPr>
          <w:p w14:paraId="61F17D98" w14:textId="77777777" w:rsidR="00C922F7" w:rsidRPr="00097181" w:rsidRDefault="00C922F7" w:rsidP="00713C93">
            <w:r w:rsidRPr="00097181">
              <w:t>151 (2.0)</w:t>
            </w:r>
          </w:p>
        </w:tc>
        <w:tc>
          <w:tcPr>
            <w:tcW w:w="992" w:type="dxa"/>
            <w:shd w:val="clear" w:color="auto" w:fill="auto"/>
            <w:noWrap/>
            <w:hideMark/>
          </w:tcPr>
          <w:p w14:paraId="086C20FD" w14:textId="77777777" w:rsidR="00C922F7" w:rsidRPr="00097181" w:rsidRDefault="00C922F7" w:rsidP="00713C93">
            <w:r w:rsidRPr="00097181">
              <w:t>11 (0.65)</w:t>
            </w:r>
          </w:p>
        </w:tc>
        <w:tc>
          <w:tcPr>
            <w:tcW w:w="993" w:type="dxa"/>
            <w:shd w:val="clear" w:color="auto" w:fill="auto"/>
            <w:noWrap/>
            <w:hideMark/>
          </w:tcPr>
          <w:p w14:paraId="373A4B8C" w14:textId="77777777" w:rsidR="00C922F7" w:rsidRPr="00097181" w:rsidRDefault="00C922F7" w:rsidP="00713C93">
            <w:r w:rsidRPr="00097181">
              <w:t>11 (0.54)</w:t>
            </w:r>
          </w:p>
        </w:tc>
        <w:tc>
          <w:tcPr>
            <w:tcW w:w="992" w:type="dxa"/>
            <w:shd w:val="clear" w:color="auto" w:fill="auto"/>
            <w:noWrap/>
            <w:hideMark/>
          </w:tcPr>
          <w:p w14:paraId="52711831" w14:textId="77777777" w:rsidR="00C922F7" w:rsidRPr="00097181" w:rsidRDefault="00C922F7" w:rsidP="00713C93">
            <w:r w:rsidRPr="00097181">
              <w:t>25 (0.60)</w:t>
            </w:r>
          </w:p>
        </w:tc>
        <w:tc>
          <w:tcPr>
            <w:tcW w:w="850" w:type="dxa"/>
            <w:shd w:val="clear" w:color="auto" w:fill="auto"/>
            <w:noWrap/>
            <w:hideMark/>
          </w:tcPr>
          <w:p w14:paraId="57BA03F0" w14:textId="77777777" w:rsidR="00C922F7" w:rsidRPr="00097181" w:rsidRDefault="00C922F7" w:rsidP="00713C93">
            <w:r w:rsidRPr="00097181">
              <w:t>13</w:t>
            </w:r>
          </w:p>
        </w:tc>
      </w:tr>
    </w:tbl>
    <w:p w14:paraId="30324243" w14:textId="77777777" w:rsidR="00C922F7" w:rsidRPr="00097181" w:rsidRDefault="00C922F7" w:rsidP="00713C93"/>
    <w:p w14:paraId="1324E2FA" w14:textId="77777777" w:rsidR="00C922F7" w:rsidRPr="00AE6D33" w:rsidRDefault="00C922F7" w:rsidP="00713C93">
      <w:r w:rsidRPr="00097181">
        <w:rPr>
          <w:i/>
        </w:rPr>
        <w:t>TP</w:t>
      </w:r>
      <w:r w:rsidRPr="00097181">
        <w:t xml:space="preserve">: total number of articles; </w:t>
      </w:r>
      <w:r w:rsidRPr="00097181">
        <w:rPr>
          <w:i/>
        </w:rPr>
        <w:t>TPR</w:t>
      </w:r>
      <w:r w:rsidRPr="00097181">
        <w:t xml:space="preserve"> (%): rank and percentage of total articles; </w:t>
      </w:r>
      <w:r w:rsidRPr="00097181">
        <w:rPr>
          <w:i/>
        </w:rPr>
        <w:t>IPR</w:t>
      </w:r>
      <w:r w:rsidRPr="00097181">
        <w:t xml:space="preserve"> (%): rank and percentage of single institute articles; </w:t>
      </w:r>
      <w:r w:rsidRPr="00097181">
        <w:rPr>
          <w:i/>
        </w:rPr>
        <w:t>CPR</w:t>
      </w:r>
      <w:r w:rsidRPr="00097181">
        <w:t xml:space="preserve"> (%): rank and percentage of inter-institutionally collaborative articles; </w:t>
      </w:r>
      <w:r w:rsidRPr="00097181">
        <w:rPr>
          <w:i/>
        </w:rPr>
        <w:t>FPR</w:t>
      </w:r>
      <w:r w:rsidRPr="00097181">
        <w:t xml:space="preserve"> (%): rank and the percentage of first author articles; </w:t>
      </w:r>
      <w:r w:rsidRPr="00097181">
        <w:rPr>
          <w:i/>
        </w:rPr>
        <w:t>RPR</w:t>
      </w:r>
      <w:r w:rsidRPr="00097181">
        <w:t xml:space="preserve"> (%): rank and the percentage of the corresponding authored articles; </w:t>
      </w:r>
      <w:r w:rsidRPr="00097181">
        <w:rPr>
          <w:i/>
        </w:rPr>
        <w:t>SPR</w:t>
      </w:r>
      <w:r w:rsidRPr="00097181">
        <w:t xml:space="preserve"> (%): rank and percentage of single author articles; </w:t>
      </w:r>
      <w:r w:rsidRPr="00097181">
        <w:rPr>
          <w:i/>
        </w:rPr>
        <w:t>CPP</w:t>
      </w:r>
      <w:r w:rsidRPr="00097181">
        <w:rPr>
          <w:vertAlign w:val="subscript"/>
        </w:rPr>
        <w:t>2017</w:t>
      </w:r>
      <w:r w:rsidRPr="00097181">
        <w:t>: number of citations (</w:t>
      </w:r>
      <w:r w:rsidRPr="00097181">
        <w:rPr>
          <w:i/>
        </w:rPr>
        <w:t>TC</w:t>
      </w:r>
      <w:r w:rsidRPr="00097181">
        <w:rPr>
          <w:vertAlign w:val="subscript"/>
        </w:rPr>
        <w:t>2017</w:t>
      </w:r>
      <w:r w:rsidRPr="00097181">
        <w:t>) per publication (</w:t>
      </w:r>
      <w:r w:rsidRPr="00097181">
        <w:rPr>
          <w:i/>
        </w:rPr>
        <w:t>TP</w:t>
      </w:r>
      <w:r w:rsidRPr="00097181">
        <w:t>).</w:t>
      </w:r>
    </w:p>
    <w:p w14:paraId="0924541C" w14:textId="77777777" w:rsidR="00C922F7" w:rsidRPr="00AE6D33" w:rsidRDefault="00C922F7" w:rsidP="00713C93"/>
    <w:p w14:paraId="51BB6DFE" w14:textId="77777777" w:rsidR="00C922F7" w:rsidRPr="00AE6D33" w:rsidRDefault="00C922F7" w:rsidP="00713C93"/>
    <w:p w14:paraId="20CD8127" w14:textId="77777777" w:rsidR="0060717D" w:rsidRDefault="0060717D" w:rsidP="00713C93"/>
    <w:sectPr w:rsidR="0060717D" w:rsidSect="00C7482B">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F7"/>
    <w:rsid w:val="00097181"/>
    <w:rsid w:val="00265314"/>
    <w:rsid w:val="00371EDE"/>
    <w:rsid w:val="0060717D"/>
    <w:rsid w:val="00611AEA"/>
    <w:rsid w:val="00642E93"/>
    <w:rsid w:val="006878A4"/>
    <w:rsid w:val="00713C93"/>
    <w:rsid w:val="009D1335"/>
    <w:rsid w:val="00BA5CFA"/>
    <w:rsid w:val="00C922F7"/>
    <w:rsid w:val="00E42D69"/>
    <w:rsid w:val="00FA559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22F5"/>
  <w15:chartTrackingRefBased/>
  <w15:docId w15:val="{3382F101-0852-4EAB-8A00-5B334DF8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13C93"/>
    <w:pPr>
      <w:spacing w:after="0" w:line="240" w:lineRule="auto"/>
      <w:jc w:val="both"/>
    </w:pPr>
    <w:rPr>
      <w:rFonts w:ascii="Times New Roman" w:eastAsia="PMingLiU" w:hAnsi="Times New Roman" w:cs="Times New Roman"/>
      <w:bCs/>
      <w:sz w:val="28"/>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theme" Target="theme/theme1.xml"/><Relationship Id="rId5" Type="http://schemas.openxmlformats.org/officeDocument/2006/relationships/chart" Target="charts/chart2.xm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0%20OK\00000%20Asia%20University\Liria%20Salome%20Calahorrano%20Sarmiento\Data-Ecuad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0%20OK\00000%20Asia%20University\Liria%20Salome%20Calahorrano%20Sarmiento\Data-Ecuad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0%20OK\00000%20Asia%20University\Liria%20Salome%20Calahorrano%20Sarmiento\Data-Ecuad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0%20OK\000000%20Asia%20University\Liria%20Salome%20Calahorrano%20Sarmiento\Data-Ecuad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0%20OK\000000%20Asia%20University\Liria%20Salome%20Calahorrano%20Sarmiento\Data-Ecuado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0%20OK\00000%20Asia%20University\Liria%20Salome%20Calahorrano%20Sarmiento\Data-Ecuad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628250043307092E-2"/>
          <c:y val="1.7610507019955961E-2"/>
          <c:w val="0.81006882750904241"/>
          <c:h val="0.48726322145657447"/>
        </c:manualLayout>
      </c:layout>
      <c:barChart>
        <c:barDir val="col"/>
        <c:grouping val="clustered"/>
        <c:varyColors val="0"/>
        <c:ser>
          <c:idx val="1"/>
          <c:order val="1"/>
          <c:tx>
            <c:strRef>
              <c:f>'SC2'!$D$1</c:f>
              <c:strCache>
                <c:ptCount val="1"/>
                <c:pt idx="0">
                  <c:v>No. Journals</c:v>
                </c:pt>
              </c:strCache>
            </c:strRef>
          </c:tx>
          <c:spPr>
            <a:solidFill>
              <a:schemeClr val="bg1">
                <a:lumMod val="95000"/>
              </a:schemeClr>
            </a:solidFill>
            <a:ln w="12700">
              <a:solidFill>
                <a:srgbClr val="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'SC2'!$A$2:$A$17</c:f>
              <c:strCache>
                <c:ptCount val="16"/>
                <c:pt idx="0">
                  <c:v>ecology</c:v>
                </c:pt>
                <c:pt idx="1">
                  <c:v>environmental sciences</c:v>
                </c:pt>
                <c:pt idx="2">
                  <c:v>plant sciences</c:v>
                </c:pt>
                <c:pt idx="3">
                  <c:v>zoology</c:v>
                </c:pt>
                <c:pt idx="4">
                  <c:v>particles and fields physics</c:v>
                </c:pt>
                <c:pt idx="5">
                  <c:v>public, environmental and occupational health</c:v>
                </c:pt>
                <c:pt idx="6">
                  <c:v>multidisciplinary geosciences</c:v>
                </c:pt>
                <c:pt idx="7">
                  <c:v>astronomy and astrophysics</c:v>
                </c:pt>
                <c:pt idx="8">
                  <c:v>tropical medicine</c:v>
                </c:pt>
                <c:pt idx="9">
                  <c:v>multidisciplinary sciences</c:v>
                </c:pt>
                <c:pt idx="10">
                  <c:v>biodiversity conservation</c:v>
                </c:pt>
                <c:pt idx="11">
                  <c:v>marine and freshwater biology</c:v>
                </c:pt>
                <c:pt idx="12">
                  <c:v>multidisciplinary physics</c:v>
                </c:pt>
                <c:pt idx="13">
                  <c:v>ornithology</c:v>
                </c:pt>
                <c:pt idx="14">
                  <c:v>infectious diseases</c:v>
                </c:pt>
                <c:pt idx="15">
                  <c:v>parasitology</c:v>
                </c:pt>
              </c:strCache>
            </c:strRef>
          </c:cat>
          <c:val>
            <c:numRef>
              <c:f>'SC2'!$D$2:$D$17</c:f>
              <c:numCache>
                <c:formatCode>General</c:formatCode>
                <c:ptCount val="16"/>
                <c:pt idx="0">
                  <c:v>158</c:v>
                </c:pt>
                <c:pt idx="1">
                  <c:v>241</c:v>
                </c:pt>
                <c:pt idx="2">
                  <c:v>222</c:v>
                </c:pt>
                <c:pt idx="3">
                  <c:v>166</c:v>
                </c:pt>
                <c:pt idx="4">
                  <c:v>29</c:v>
                </c:pt>
                <c:pt idx="5">
                  <c:v>180</c:v>
                </c:pt>
                <c:pt idx="6">
                  <c:v>189</c:v>
                </c:pt>
                <c:pt idx="7">
                  <c:v>66</c:v>
                </c:pt>
                <c:pt idx="8">
                  <c:v>20</c:v>
                </c:pt>
                <c:pt idx="9">
                  <c:v>64</c:v>
                </c:pt>
                <c:pt idx="10">
                  <c:v>55</c:v>
                </c:pt>
                <c:pt idx="11">
                  <c:v>106</c:v>
                </c:pt>
                <c:pt idx="12">
                  <c:v>78</c:v>
                </c:pt>
                <c:pt idx="13">
                  <c:v>25</c:v>
                </c:pt>
                <c:pt idx="14">
                  <c:v>88</c:v>
                </c:pt>
                <c:pt idx="15">
                  <c:v>37</c:v>
                </c:pt>
              </c:numCache>
            </c:numRef>
          </c:val>
          <c:extLst>
            <c:ext xmlns:c16="http://schemas.microsoft.com/office/drawing/2014/chart" uri="{C3380CC4-5D6E-409C-BE32-E72D297353CC}">
              <c16:uniqueId val="{00000000-2589-436A-BE10-9DDDC283E3B9}"/>
            </c:ext>
          </c:extLst>
        </c:ser>
        <c:dLbls>
          <c:showLegendKey val="0"/>
          <c:showVal val="0"/>
          <c:showCatName val="0"/>
          <c:showSerName val="0"/>
          <c:showPercent val="0"/>
          <c:showBubbleSize val="0"/>
        </c:dLbls>
        <c:gapWidth val="150"/>
        <c:axId val="563134256"/>
        <c:axId val="563133696"/>
      </c:barChart>
      <c:lineChart>
        <c:grouping val="standard"/>
        <c:varyColors val="0"/>
        <c:ser>
          <c:idx val="0"/>
          <c:order val="0"/>
          <c:tx>
            <c:strRef>
              <c:f>'SC2'!$C$1</c:f>
              <c:strCache>
                <c:ptCount val="1"/>
                <c:pt idx="0">
                  <c:v>Percentage</c:v>
                </c:pt>
              </c:strCache>
            </c:strRef>
          </c:tx>
          <c:spPr>
            <a:ln w="12700">
              <a:solidFill>
                <a:srgbClr val="000000"/>
              </a:solidFill>
            </a:ln>
          </c:spPr>
          <c:marker>
            <c:symbol val="circle"/>
            <c:size val="5"/>
            <c:spPr>
              <a:solidFill>
                <a:sysClr val="windowText" lastClr="000000"/>
              </a:solidFill>
              <a:ln w="9525">
                <a:solidFill>
                  <a:srgbClr val="000000"/>
                </a:solidFill>
              </a:ln>
            </c:spPr>
          </c:marker>
          <c:cat>
            <c:strRef>
              <c:f>'SC2'!$A$2:$A$17</c:f>
              <c:strCache>
                <c:ptCount val="16"/>
                <c:pt idx="0">
                  <c:v>ecology</c:v>
                </c:pt>
                <c:pt idx="1">
                  <c:v>environmental sciences</c:v>
                </c:pt>
                <c:pt idx="2">
                  <c:v>plant sciences</c:v>
                </c:pt>
                <c:pt idx="3">
                  <c:v>zoology</c:v>
                </c:pt>
                <c:pt idx="4">
                  <c:v>particles and fields physics</c:v>
                </c:pt>
                <c:pt idx="5">
                  <c:v>public, environmental and occupational health</c:v>
                </c:pt>
                <c:pt idx="6">
                  <c:v>multidisciplinary geosciences</c:v>
                </c:pt>
                <c:pt idx="7">
                  <c:v>astronomy and astrophysics</c:v>
                </c:pt>
                <c:pt idx="8">
                  <c:v>tropical medicine</c:v>
                </c:pt>
                <c:pt idx="9">
                  <c:v>multidisciplinary sciences</c:v>
                </c:pt>
                <c:pt idx="10">
                  <c:v>biodiversity conservation</c:v>
                </c:pt>
                <c:pt idx="11">
                  <c:v>marine and freshwater biology</c:v>
                </c:pt>
                <c:pt idx="12">
                  <c:v>multidisciplinary physics</c:v>
                </c:pt>
                <c:pt idx="13">
                  <c:v>ornithology</c:v>
                </c:pt>
                <c:pt idx="14">
                  <c:v>infectious diseases</c:v>
                </c:pt>
                <c:pt idx="15">
                  <c:v>parasitology</c:v>
                </c:pt>
              </c:strCache>
            </c:strRef>
          </c:cat>
          <c:val>
            <c:numRef>
              <c:f>'SC2'!$C$2:$C$17</c:f>
              <c:numCache>
                <c:formatCode>0.0</c:formatCode>
                <c:ptCount val="16"/>
                <c:pt idx="0">
                  <c:v>7.7011788826242951</c:v>
                </c:pt>
                <c:pt idx="1">
                  <c:v>6.0609943618657098</c:v>
                </c:pt>
                <c:pt idx="2">
                  <c:v>5.6637621732444901</c:v>
                </c:pt>
                <c:pt idx="3">
                  <c:v>5.1512045105074318</c:v>
                </c:pt>
                <c:pt idx="4">
                  <c:v>4.8052280881599181</c:v>
                </c:pt>
                <c:pt idx="5">
                  <c:v>4.3439261916965659</c:v>
                </c:pt>
                <c:pt idx="6">
                  <c:v>4.0492055356227574</c:v>
                </c:pt>
                <c:pt idx="7">
                  <c:v>3.9851358277806255</c:v>
                </c:pt>
                <c:pt idx="8">
                  <c:v>3.8826242952332137</c:v>
                </c:pt>
                <c:pt idx="9">
                  <c:v>3.600717580727832</c:v>
                </c:pt>
                <c:pt idx="10">
                  <c:v>3.0112762685802155</c:v>
                </c:pt>
                <c:pt idx="11">
                  <c:v>2.9343926191696568</c:v>
                </c:pt>
                <c:pt idx="12">
                  <c:v>2.8959507944643774</c:v>
                </c:pt>
                <c:pt idx="13">
                  <c:v>2.4859046642747309</c:v>
                </c:pt>
                <c:pt idx="14">
                  <c:v>2.4859046642747309</c:v>
                </c:pt>
                <c:pt idx="15">
                  <c:v>2.4602767811378778</c:v>
                </c:pt>
              </c:numCache>
            </c:numRef>
          </c:val>
          <c:smooth val="0"/>
          <c:extLst>
            <c:ext xmlns:c16="http://schemas.microsoft.com/office/drawing/2014/chart" uri="{C3380CC4-5D6E-409C-BE32-E72D297353CC}">
              <c16:uniqueId val="{00000001-2589-436A-BE10-9DDDC283E3B9}"/>
            </c:ext>
          </c:extLst>
        </c:ser>
        <c:dLbls>
          <c:showLegendKey val="0"/>
          <c:showVal val="0"/>
          <c:showCatName val="0"/>
          <c:showSerName val="0"/>
          <c:showPercent val="0"/>
          <c:showBubbleSize val="0"/>
        </c:dLbls>
        <c:marker val="1"/>
        <c:smooth val="0"/>
        <c:axId val="563132576"/>
        <c:axId val="563133136"/>
      </c:lineChart>
      <c:catAx>
        <c:axId val="563132576"/>
        <c:scaling>
          <c:orientation val="minMax"/>
        </c:scaling>
        <c:delete val="0"/>
        <c:axPos val="b"/>
        <c:numFmt formatCode="General" sourceLinked="1"/>
        <c:majorTickMark val="none"/>
        <c:minorTickMark val="none"/>
        <c:tickLblPos val="nextTo"/>
        <c:spPr>
          <a:noFill/>
          <a:ln w="12700">
            <a:solidFill>
              <a:srgbClr val="000000"/>
            </a:solidFill>
            <a:prstDash val="solid"/>
          </a:ln>
        </c:spPr>
        <c:txPr>
          <a:bodyPr rot="5400000" vert="horz"/>
          <a:lstStyle/>
          <a:p>
            <a:pPr>
              <a:defRPr sz="1000" b="0" i="0" u="none" strike="noStrike" baseline="0">
                <a:solidFill>
                  <a:srgbClr val="000000"/>
                </a:solidFill>
                <a:latin typeface="Arial"/>
                <a:ea typeface="Arial"/>
                <a:cs typeface="Arial"/>
              </a:defRPr>
            </a:pPr>
            <a:endParaRPr lang="es-CR"/>
          </a:p>
        </c:txPr>
        <c:crossAx val="563133136"/>
        <c:crosses val="autoZero"/>
        <c:auto val="1"/>
        <c:lblAlgn val="ctr"/>
        <c:lblOffset val="100"/>
        <c:noMultiLvlLbl val="0"/>
      </c:catAx>
      <c:valAx>
        <c:axId val="563133136"/>
        <c:scaling>
          <c:orientation val="minMax"/>
        </c:scaling>
        <c:delete val="0"/>
        <c:axPos val="l"/>
        <c:title>
          <c:tx>
            <c:rich>
              <a:bodyPr anchor="ctr" anchorCtr="1"/>
              <a:lstStyle/>
              <a:p>
                <a:pPr>
                  <a:defRPr sz="1000" b="1" i="0" u="none" strike="noStrike" baseline="0">
                    <a:solidFill>
                      <a:srgbClr val="000000"/>
                    </a:solidFill>
                    <a:latin typeface="Arial"/>
                    <a:ea typeface="Arial"/>
                    <a:cs typeface="Arial"/>
                  </a:defRPr>
                </a:pPr>
                <a:r>
                  <a:rPr lang="en-US" altLang="en-US"/>
                  <a:t>Percentage</a:t>
                </a:r>
                <a:r>
                  <a:rPr lang="en-US" altLang="en-US" sz="1000" b="1" i="0" u="none" strike="noStrike" kern="1200" baseline="0">
                    <a:solidFill>
                      <a:srgbClr val="000000"/>
                    </a:solidFill>
                    <a:latin typeface="Arial"/>
                    <a:cs typeface="Arial"/>
                  </a:rPr>
                  <a:t> </a:t>
                </a:r>
                <a:r>
                  <a:rPr lang="en-US" altLang="en-US"/>
                  <a:t>(%)</a:t>
                </a:r>
              </a:p>
            </c:rich>
          </c:tx>
          <c:layout>
            <c:manualLayout>
              <c:xMode val="edge"/>
              <c:yMode val="edge"/>
              <c:x val="5.3047635906168934E-4"/>
              <c:y val="0.17319420619585654"/>
            </c:manualLayout>
          </c:layout>
          <c:overlay val="0"/>
          <c:spPr>
            <a:noFill/>
            <a:ln w="25400">
              <a:noFill/>
            </a:ln>
          </c:spPr>
        </c:title>
        <c:numFmt formatCode="General" sourceLinked="0"/>
        <c:majorTickMark val="in"/>
        <c:minorTickMark val="none"/>
        <c:tickLblPos val="nextTo"/>
        <c:spPr>
          <a:ln w="127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CR"/>
          </a:p>
        </c:txPr>
        <c:crossAx val="563132576"/>
        <c:crosses val="autoZero"/>
        <c:crossBetween val="between"/>
      </c:valAx>
      <c:valAx>
        <c:axId val="563133696"/>
        <c:scaling>
          <c:orientation val="minMax"/>
        </c:scaling>
        <c:delete val="0"/>
        <c:axPos val="r"/>
        <c:title>
          <c:tx>
            <c:rich>
              <a:bodyPr rot="5400000" vert="horz" anchor="ctr" anchorCtr="0"/>
              <a:lstStyle/>
              <a:p>
                <a:pPr>
                  <a:defRPr b="1"/>
                </a:pPr>
                <a:r>
                  <a:rPr lang="en-US" altLang="en-US" b="1"/>
                  <a:t>Number</a:t>
                </a:r>
                <a:r>
                  <a:rPr lang="en-US" altLang="en-US" sz="1000" b="1" i="0" u="none" strike="noStrike" kern="1200" baseline="0">
                    <a:solidFill>
                      <a:srgbClr val="000000"/>
                    </a:solidFill>
                    <a:latin typeface="Arial"/>
                    <a:cs typeface="Arial"/>
                  </a:rPr>
                  <a:t> </a:t>
                </a:r>
                <a:r>
                  <a:rPr lang="en-US" altLang="en-US" b="1"/>
                  <a:t>of</a:t>
                </a:r>
                <a:r>
                  <a:rPr lang="en-US" altLang="en-US" sz="1000" b="1" i="0" u="none" strike="noStrike" kern="1200" baseline="0">
                    <a:solidFill>
                      <a:srgbClr val="000000"/>
                    </a:solidFill>
                    <a:latin typeface="Arial"/>
                    <a:cs typeface="Arial"/>
                  </a:rPr>
                  <a:t> </a:t>
                </a:r>
                <a:r>
                  <a:rPr lang="en-US" altLang="en-US" b="1"/>
                  <a:t>journals</a:t>
                </a:r>
              </a:p>
            </c:rich>
          </c:tx>
          <c:layout>
            <c:manualLayout>
              <c:xMode val="edge"/>
              <c:yMode val="edge"/>
              <c:x val="0.9621788530767913"/>
              <c:y val="0.14590443901837927"/>
            </c:manualLayout>
          </c:layout>
          <c:overlay val="0"/>
        </c:title>
        <c:numFmt formatCode="General" sourceLinked="0"/>
        <c:majorTickMark val="in"/>
        <c:minorTickMark val="none"/>
        <c:tickLblPos val="nextTo"/>
        <c:spPr>
          <a:noFill/>
          <a:ln w="12700">
            <a:solidFill>
              <a:srgbClr val="000000"/>
            </a:solidFill>
          </a:ln>
        </c:spPr>
        <c:crossAx val="563134256"/>
        <c:crosses val="max"/>
        <c:crossBetween val="between"/>
      </c:valAx>
      <c:catAx>
        <c:axId val="563134256"/>
        <c:scaling>
          <c:orientation val="minMax"/>
        </c:scaling>
        <c:delete val="1"/>
        <c:axPos val="b"/>
        <c:numFmt formatCode="General" sourceLinked="1"/>
        <c:majorTickMark val="out"/>
        <c:minorTickMark val="none"/>
        <c:tickLblPos val="none"/>
        <c:crossAx val="563133696"/>
        <c:crosses val="autoZero"/>
        <c:auto val="1"/>
        <c:lblAlgn val="ctr"/>
        <c:lblOffset val="100"/>
        <c:noMultiLvlLbl val="0"/>
      </c:catAx>
      <c:spPr>
        <a:noFill/>
        <a:ln w="12700">
          <a:solidFill>
            <a:srgbClr val="000000"/>
          </a:solidFill>
          <a:prstDash val="solid"/>
        </a:ln>
      </c:spPr>
    </c:plotArea>
    <c:legend>
      <c:legendPos val="r"/>
      <c:layout>
        <c:manualLayout>
          <c:xMode val="edge"/>
          <c:yMode val="edge"/>
          <c:x val="0.52575527092253094"/>
          <c:y val="5.4880730357846873E-2"/>
          <c:w val="0.2314255231427034"/>
          <c:h val="6.9409069406545482E-2"/>
        </c:manualLayout>
      </c:layout>
      <c:overlay val="0"/>
      <c:spPr>
        <a:noFill/>
        <a:ln w="25400">
          <a:noFill/>
        </a:ln>
      </c:spPr>
      <c:txPr>
        <a:bodyPr/>
        <a:lstStyle/>
        <a:p>
          <a:pPr>
            <a:defRPr sz="1000" b="0" i="0" u="none" strike="noStrike" baseline="0">
              <a:solidFill>
                <a:srgbClr val="000000"/>
              </a:solidFill>
              <a:latin typeface="Arial"/>
              <a:ea typeface="Arial"/>
              <a:cs typeface="Arial"/>
            </a:defRPr>
          </a:pPr>
          <a:endParaRPr lang="es-CR"/>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s-C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161527591236466E-2"/>
          <c:y val="1.7610507019955961E-2"/>
          <c:w val="0.89662616550861185"/>
          <c:h val="0.8672042732369688"/>
        </c:manualLayout>
      </c:layout>
      <c:scatterChart>
        <c:scatterStyle val="lineMarker"/>
        <c:varyColors val="0"/>
        <c:ser>
          <c:idx val="4"/>
          <c:order val="0"/>
          <c:tx>
            <c:strRef>
              <c:f>'SC1'!$B$1</c:f>
              <c:strCache>
                <c:ptCount val="1"/>
                <c:pt idx="0">
                  <c:v>Ecology, TP = 601</c:v>
                </c:pt>
              </c:strCache>
            </c:strRef>
          </c:tx>
          <c:spPr>
            <a:ln w="12700">
              <a:solidFill>
                <a:srgbClr val="000000"/>
              </a:solidFill>
            </a:ln>
          </c:spPr>
          <c:marker>
            <c:symbol val="square"/>
            <c:size val="5"/>
            <c:spPr>
              <a:solidFill>
                <a:schemeClr val="tx1"/>
              </a:solidFill>
              <a:ln w="9525">
                <a:solidFill>
                  <a:srgbClr val="000000"/>
                </a:solidFill>
              </a:ln>
            </c:spPr>
          </c:marker>
          <c:xVal>
            <c:numRef>
              <c:f>'SC1'!$A$2:$A$84</c:f>
              <c:numCache>
                <c:formatCode>General</c:formatCode>
                <c:ptCount val="83"/>
                <c:pt idx="0">
                  <c:v>1935</c:v>
                </c:pt>
                <c:pt idx="1">
                  <c:v>1936</c:v>
                </c:pt>
                <c:pt idx="2">
                  <c:v>1937</c:v>
                </c:pt>
                <c:pt idx="3">
                  <c:v>1938</c:v>
                </c:pt>
                <c:pt idx="4">
                  <c:v>1939</c:v>
                </c:pt>
                <c:pt idx="5">
                  <c:v>1940</c:v>
                </c:pt>
                <c:pt idx="6">
                  <c:v>1941</c:v>
                </c:pt>
                <c:pt idx="7">
                  <c:v>1942</c:v>
                </c:pt>
                <c:pt idx="8">
                  <c:v>1943</c:v>
                </c:pt>
                <c:pt idx="9">
                  <c:v>1944</c:v>
                </c:pt>
                <c:pt idx="10">
                  <c:v>1945</c:v>
                </c:pt>
                <c:pt idx="11">
                  <c:v>1946</c:v>
                </c:pt>
                <c:pt idx="12">
                  <c:v>1947</c:v>
                </c:pt>
                <c:pt idx="13">
                  <c:v>1948</c:v>
                </c:pt>
                <c:pt idx="14">
                  <c:v>1949</c:v>
                </c:pt>
                <c:pt idx="15">
                  <c:v>1950</c:v>
                </c:pt>
                <c:pt idx="16">
                  <c:v>1951</c:v>
                </c:pt>
                <c:pt idx="17">
                  <c:v>1952</c:v>
                </c:pt>
                <c:pt idx="18">
                  <c:v>1953</c:v>
                </c:pt>
                <c:pt idx="19">
                  <c:v>1954</c:v>
                </c:pt>
                <c:pt idx="20">
                  <c:v>1955</c:v>
                </c:pt>
                <c:pt idx="21">
                  <c:v>1956</c:v>
                </c:pt>
                <c:pt idx="22">
                  <c:v>1957</c:v>
                </c:pt>
                <c:pt idx="23">
                  <c:v>1958</c:v>
                </c:pt>
                <c:pt idx="24">
                  <c:v>1959</c:v>
                </c:pt>
                <c:pt idx="25">
                  <c:v>1960</c:v>
                </c:pt>
                <c:pt idx="26">
                  <c:v>1961</c:v>
                </c:pt>
                <c:pt idx="27">
                  <c:v>1962</c:v>
                </c:pt>
                <c:pt idx="28">
                  <c:v>1963</c:v>
                </c:pt>
                <c:pt idx="29">
                  <c:v>1964</c:v>
                </c:pt>
                <c:pt idx="30">
                  <c:v>1965</c:v>
                </c:pt>
                <c:pt idx="31">
                  <c:v>1966</c:v>
                </c:pt>
                <c:pt idx="32">
                  <c:v>1967</c:v>
                </c:pt>
                <c:pt idx="33">
                  <c:v>1968</c:v>
                </c:pt>
                <c:pt idx="34">
                  <c:v>1969</c:v>
                </c:pt>
                <c:pt idx="35">
                  <c:v>1970</c:v>
                </c:pt>
                <c:pt idx="36">
                  <c:v>1971</c:v>
                </c:pt>
                <c:pt idx="37">
                  <c:v>1972</c:v>
                </c:pt>
                <c:pt idx="38">
                  <c:v>1973</c:v>
                </c:pt>
                <c:pt idx="39">
                  <c:v>1974</c:v>
                </c:pt>
                <c:pt idx="40">
                  <c:v>1975</c:v>
                </c:pt>
                <c:pt idx="41">
                  <c:v>1976</c:v>
                </c:pt>
                <c:pt idx="42">
                  <c:v>1977</c:v>
                </c:pt>
                <c:pt idx="43">
                  <c:v>1978</c:v>
                </c:pt>
                <c:pt idx="44">
                  <c:v>1979</c:v>
                </c:pt>
                <c:pt idx="45">
                  <c:v>1980</c:v>
                </c:pt>
                <c:pt idx="46">
                  <c:v>1981</c:v>
                </c:pt>
                <c:pt idx="47">
                  <c:v>1982</c:v>
                </c:pt>
                <c:pt idx="48">
                  <c:v>1983</c:v>
                </c:pt>
                <c:pt idx="49">
                  <c:v>1984</c:v>
                </c:pt>
                <c:pt idx="50">
                  <c:v>1985</c:v>
                </c:pt>
                <c:pt idx="51">
                  <c:v>1986</c:v>
                </c:pt>
                <c:pt idx="52">
                  <c:v>1987</c:v>
                </c:pt>
                <c:pt idx="53">
                  <c:v>1988</c:v>
                </c:pt>
                <c:pt idx="54">
                  <c:v>1989</c:v>
                </c:pt>
                <c:pt idx="55">
                  <c:v>1990</c:v>
                </c:pt>
                <c:pt idx="56">
                  <c:v>1991</c:v>
                </c:pt>
                <c:pt idx="57">
                  <c:v>1992</c:v>
                </c:pt>
                <c:pt idx="58">
                  <c:v>1993</c:v>
                </c:pt>
                <c:pt idx="59">
                  <c:v>1994</c:v>
                </c:pt>
                <c:pt idx="60">
                  <c:v>1995</c:v>
                </c:pt>
                <c:pt idx="61">
                  <c:v>1996</c:v>
                </c:pt>
                <c:pt idx="62">
                  <c:v>1997</c:v>
                </c:pt>
                <c:pt idx="63">
                  <c:v>1998</c:v>
                </c:pt>
                <c:pt idx="64">
                  <c:v>1999</c:v>
                </c:pt>
                <c:pt idx="65">
                  <c:v>2000</c:v>
                </c:pt>
                <c:pt idx="66">
                  <c:v>2001</c:v>
                </c:pt>
                <c:pt idx="67">
                  <c:v>2002</c:v>
                </c:pt>
                <c:pt idx="68">
                  <c:v>2003</c:v>
                </c:pt>
                <c:pt idx="69">
                  <c:v>2004</c:v>
                </c:pt>
                <c:pt idx="70">
                  <c:v>2005</c:v>
                </c:pt>
                <c:pt idx="71">
                  <c:v>2006</c:v>
                </c:pt>
                <c:pt idx="72">
                  <c:v>2007</c:v>
                </c:pt>
                <c:pt idx="73">
                  <c:v>2008</c:v>
                </c:pt>
                <c:pt idx="74">
                  <c:v>2009</c:v>
                </c:pt>
                <c:pt idx="75">
                  <c:v>2010</c:v>
                </c:pt>
                <c:pt idx="76">
                  <c:v>2011</c:v>
                </c:pt>
                <c:pt idx="77">
                  <c:v>2012</c:v>
                </c:pt>
                <c:pt idx="78">
                  <c:v>2013</c:v>
                </c:pt>
                <c:pt idx="79">
                  <c:v>2014</c:v>
                </c:pt>
                <c:pt idx="80">
                  <c:v>2015</c:v>
                </c:pt>
                <c:pt idx="81">
                  <c:v>2016</c:v>
                </c:pt>
                <c:pt idx="82">
                  <c:v>2017</c:v>
                </c:pt>
              </c:numCache>
            </c:numRef>
          </c:xVal>
          <c:yVal>
            <c:numRef>
              <c:f>'SC1'!$B$2:$B$84</c:f>
              <c:numCache>
                <c:formatCode>General</c:formatCode>
                <c:ptCount val="83"/>
                <c:pt idx="44">
                  <c:v>2</c:v>
                </c:pt>
                <c:pt idx="45">
                  <c:v>1</c:v>
                </c:pt>
                <c:pt idx="46">
                  <c:v>1</c:v>
                </c:pt>
                <c:pt idx="47">
                  <c:v>1</c:v>
                </c:pt>
                <c:pt idx="48">
                  <c:v>3</c:v>
                </c:pt>
                <c:pt idx="49">
                  <c:v>0</c:v>
                </c:pt>
                <c:pt idx="50">
                  <c:v>2</c:v>
                </c:pt>
                <c:pt idx="51">
                  <c:v>2</c:v>
                </c:pt>
                <c:pt idx="52">
                  <c:v>1</c:v>
                </c:pt>
                <c:pt idx="53">
                  <c:v>0</c:v>
                </c:pt>
                <c:pt idx="54">
                  <c:v>1</c:v>
                </c:pt>
                <c:pt idx="55">
                  <c:v>2</c:v>
                </c:pt>
                <c:pt idx="56">
                  <c:v>2</c:v>
                </c:pt>
                <c:pt idx="57">
                  <c:v>0</c:v>
                </c:pt>
                <c:pt idx="58">
                  <c:v>0</c:v>
                </c:pt>
                <c:pt idx="59">
                  <c:v>2</c:v>
                </c:pt>
                <c:pt idx="60">
                  <c:v>2</c:v>
                </c:pt>
                <c:pt idx="61">
                  <c:v>1</c:v>
                </c:pt>
                <c:pt idx="62">
                  <c:v>5</c:v>
                </c:pt>
                <c:pt idx="63">
                  <c:v>3</c:v>
                </c:pt>
                <c:pt idx="64">
                  <c:v>2</c:v>
                </c:pt>
                <c:pt idx="65">
                  <c:v>2</c:v>
                </c:pt>
                <c:pt idx="66">
                  <c:v>6</c:v>
                </c:pt>
                <c:pt idx="67">
                  <c:v>12</c:v>
                </c:pt>
                <c:pt idx="68">
                  <c:v>8</c:v>
                </c:pt>
                <c:pt idx="69">
                  <c:v>26</c:v>
                </c:pt>
                <c:pt idx="70">
                  <c:v>12</c:v>
                </c:pt>
                <c:pt idx="71">
                  <c:v>16</c:v>
                </c:pt>
                <c:pt idx="72">
                  <c:v>21</c:v>
                </c:pt>
                <c:pt idx="73">
                  <c:v>18</c:v>
                </c:pt>
                <c:pt idx="74">
                  <c:v>28</c:v>
                </c:pt>
                <c:pt idx="75">
                  <c:v>36</c:v>
                </c:pt>
                <c:pt idx="76">
                  <c:v>24</c:v>
                </c:pt>
                <c:pt idx="77">
                  <c:v>50</c:v>
                </c:pt>
                <c:pt idx="78">
                  <c:v>47</c:v>
                </c:pt>
                <c:pt idx="79">
                  <c:v>51</c:v>
                </c:pt>
                <c:pt idx="80">
                  <c:v>54</c:v>
                </c:pt>
                <c:pt idx="81">
                  <c:v>77</c:v>
                </c:pt>
                <c:pt idx="82">
                  <c:v>80</c:v>
                </c:pt>
              </c:numCache>
            </c:numRef>
          </c:yVal>
          <c:smooth val="0"/>
          <c:extLst>
            <c:ext xmlns:c16="http://schemas.microsoft.com/office/drawing/2014/chart" uri="{C3380CC4-5D6E-409C-BE32-E72D297353CC}">
              <c16:uniqueId val="{00000000-7586-4BFC-8A02-7D35E30D25D0}"/>
            </c:ext>
          </c:extLst>
        </c:ser>
        <c:ser>
          <c:idx val="1"/>
          <c:order val="1"/>
          <c:tx>
            <c:strRef>
              <c:f>'SC1'!$C$1</c:f>
              <c:strCache>
                <c:ptCount val="1"/>
                <c:pt idx="0">
                  <c:v>Environmental Sciences, TP = 473</c:v>
                </c:pt>
              </c:strCache>
            </c:strRef>
          </c:tx>
          <c:spPr>
            <a:ln w="12700">
              <a:solidFill>
                <a:schemeClr val="tx1"/>
              </a:solidFill>
            </a:ln>
          </c:spPr>
          <c:marker>
            <c:symbol val="diamond"/>
            <c:size val="5"/>
            <c:spPr>
              <a:solidFill>
                <a:schemeClr val="tx1"/>
              </a:solidFill>
              <a:ln w="9525">
                <a:solidFill>
                  <a:schemeClr val="tx1"/>
                </a:solidFill>
              </a:ln>
            </c:spPr>
          </c:marker>
          <c:xVal>
            <c:numRef>
              <c:f>'SC1'!$A$2:$A$84</c:f>
              <c:numCache>
                <c:formatCode>General</c:formatCode>
                <c:ptCount val="83"/>
                <c:pt idx="0">
                  <c:v>1935</c:v>
                </c:pt>
                <c:pt idx="1">
                  <c:v>1936</c:v>
                </c:pt>
                <c:pt idx="2">
                  <c:v>1937</c:v>
                </c:pt>
                <c:pt idx="3">
                  <c:v>1938</c:v>
                </c:pt>
                <c:pt idx="4">
                  <c:v>1939</c:v>
                </c:pt>
                <c:pt idx="5">
                  <c:v>1940</c:v>
                </c:pt>
                <c:pt idx="6">
                  <c:v>1941</c:v>
                </c:pt>
                <c:pt idx="7">
                  <c:v>1942</c:v>
                </c:pt>
                <c:pt idx="8">
                  <c:v>1943</c:v>
                </c:pt>
                <c:pt idx="9">
                  <c:v>1944</c:v>
                </c:pt>
                <c:pt idx="10">
                  <c:v>1945</c:v>
                </c:pt>
                <c:pt idx="11">
                  <c:v>1946</c:v>
                </c:pt>
                <c:pt idx="12">
                  <c:v>1947</c:v>
                </c:pt>
                <c:pt idx="13">
                  <c:v>1948</c:v>
                </c:pt>
                <c:pt idx="14">
                  <c:v>1949</c:v>
                </c:pt>
                <c:pt idx="15">
                  <c:v>1950</c:v>
                </c:pt>
                <c:pt idx="16">
                  <c:v>1951</c:v>
                </c:pt>
                <c:pt idx="17">
                  <c:v>1952</c:v>
                </c:pt>
                <c:pt idx="18">
                  <c:v>1953</c:v>
                </c:pt>
                <c:pt idx="19">
                  <c:v>1954</c:v>
                </c:pt>
                <c:pt idx="20">
                  <c:v>1955</c:v>
                </c:pt>
                <c:pt idx="21">
                  <c:v>1956</c:v>
                </c:pt>
                <c:pt idx="22">
                  <c:v>1957</c:v>
                </c:pt>
                <c:pt idx="23">
                  <c:v>1958</c:v>
                </c:pt>
                <c:pt idx="24">
                  <c:v>1959</c:v>
                </c:pt>
                <c:pt idx="25">
                  <c:v>1960</c:v>
                </c:pt>
                <c:pt idx="26">
                  <c:v>1961</c:v>
                </c:pt>
                <c:pt idx="27">
                  <c:v>1962</c:v>
                </c:pt>
                <c:pt idx="28">
                  <c:v>1963</c:v>
                </c:pt>
                <c:pt idx="29">
                  <c:v>1964</c:v>
                </c:pt>
                <c:pt idx="30">
                  <c:v>1965</c:v>
                </c:pt>
                <c:pt idx="31">
                  <c:v>1966</c:v>
                </c:pt>
                <c:pt idx="32">
                  <c:v>1967</c:v>
                </c:pt>
                <c:pt idx="33">
                  <c:v>1968</c:v>
                </c:pt>
                <c:pt idx="34">
                  <c:v>1969</c:v>
                </c:pt>
                <c:pt idx="35">
                  <c:v>1970</c:v>
                </c:pt>
                <c:pt idx="36">
                  <c:v>1971</c:v>
                </c:pt>
                <c:pt idx="37">
                  <c:v>1972</c:v>
                </c:pt>
                <c:pt idx="38">
                  <c:v>1973</c:v>
                </c:pt>
                <c:pt idx="39">
                  <c:v>1974</c:v>
                </c:pt>
                <c:pt idx="40">
                  <c:v>1975</c:v>
                </c:pt>
                <c:pt idx="41">
                  <c:v>1976</c:v>
                </c:pt>
                <c:pt idx="42">
                  <c:v>1977</c:v>
                </c:pt>
                <c:pt idx="43">
                  <c:v>1978</c:v>
                </c:pt>
                <c:pt idx="44">
                  <c:v>1979</c:v>
                </c:pt>
                <c:pt idx="45">
                  <c:v>1980</c:v>
                </c:pt>
                <c:pt idx="46">
                  <c:v>1981</c:v>
                </c:pt>
                <c:pt idx="47">
                  <c:v>1982</c:v>
                </c:pt>
                <c:pt idx="48">
                  <c:v>1983</c:v>
                </c:pt>
                <c:pt idx="49">
                  <c:v>1984</c:v>
                </c:pt>
                <c:pt idx="50">
                  <c:v>1985</c:v>
                </c:pt>
                <c:pt idx="51">
                  <c:v>1986</c:v>
                </c:pt>
                <c:pt idx="52">
                  <c:v>1987</c:v>
                </c:pt>
                <c:pt idx="53">
                  <c:v>1988</c:v>
                </c:pt>
                <c:pt idx="54">
                  <c:v>1989</c:v>
                </c:pt>
                <c:pt idx="55">
                  <c:v>1990</c:v>
                </c:pt>
                <c:pt idx="56">
                  <c:v>1991</c:v>
                </c:pt>
                <c:pt idx="57">
                  <c:v>1992</c:v>
                </c:pt>
                <c:pt idx="58">
                  <c:v>1993</c:v>
                </c:pt>
                <c:pt idx="59">
                  <c:v>1994</c:v>
                </c:pt>
                <c:pt idx="60">
                  <c:v>1995</c:v>
                </c:pt>
                <c:pt idx="61">
                  <c:v>1996</c:v>
                </c:pt>
                <c:pt idx="62">
                  <c:v>1997</c:v>
                </c:pt>
                <c:pt idx="63">
                  <c:v>1998</c:v>
                </c:pt>
                <c:pt idx="64">
                  <c:v>1999</c:v>
                </c:pt>
                <c:pt idx="65">
                  <c:v>2000</c:v>
                </c:pt>
                <c:pt idx="66">
                  <c:v>2001</c:v>
                </c:pt>
                <c:pt idx="67">
                  <c:v>2002</c:v>
                </c:pt>
                <c:pt idx="68">
                  <c:v>2003</c:v>
                </c:pt>
                <c:pt idx="69">
                  <c:v>2004</c:v>
                </c:pt>
                <c:pt idx="70">
                  <c:v>2005</c:v>
                </c:pt>
                <c:pt idx="71">
                  <c:v>2006</c:v>
                </c:pt>
                <c:pt idx="72">
                  <c:v>2007</c:v>
                </c:pt>
                <c:pt idx="73">
                  <c:v>2008</c:v>
                </c:pt>
                <c:pt idx="74">
                  <c:v>2009</c:v>
                </c:pt>
                <c:pt idx="75">
                  <c:v>2010</c:v>
                </c:pt>
                <c:pt idx="76">
                  <c:v>2011</c:v>
                </c:pt>
                <c:pt idx="77">
                  <c:v>2012</c:v>
                </c:pt>
                <c:pt idx="78">
                  <c:v>2013</c:v>
                </c:pt>
                <c:pt idx="79">
                  <c:v>2014</c:v>
                </c:pt>
                <c:pt idx="80">
                  <c:v>2015</c:v>
                </c:pt>
                <c:pt idx="81">
                  <c:v>2016</c:v>
                </c:pt>
                <c:pt idx="82">
                  <c:v>2017</c:v>
                </c:pt>
              </c:numCache>
            </c:numRef>
          </c:xVal>
          <c:yVal>
            <c:numRef>
              <c:f>'SC1'!$C$2:$C$84</c:f>
              <c:numCache>
                <c:formatCode>General</c:formatCode>
                <c:ptCount val="83"/>
                <c:pt idx="44">
                  <c:v>1</c:v>
                </c:pt>
                <c:pt idx="45">
                  <c:v>0</c:v>
                </c:pt>
                <c:pt idx="46">
                  <c:v>1</c:v>
                </c:pt>
                <c:pt idx="47">
                  <c:v>0</c:v>
                </c:pt>
                <c:pt idx="48">
                  <c:v>0</c:v>
                </c:pt>
                <c:pt idx="49">
                  <c:v>0</c:v>
                </c:pt>
                <c:pt idx="50">
                  <c:v>0</c:v>
                </c:pt>
                <c:pt idx="51">
                  <c:v>1</c:v>
                </c:pt>
                <c:pt idx="52">
                  <c:v>1</c:v>
                </c:pt>
                <c:pt idx="53">
                  <c:v>1</c:v>
                </c:pt>
                <c:pt idx="54">
                  <c:v>1</c:v>
                </c:pt>
                <c:pt idx="55">
                  <c:v>1</c:v>
                </c:pt>
                <c:pt idx="56">
                  <c:v>1</c:v>
                </c:pt>
                <c:pt idx="57">
                  <c:v>0</c:v>
                </c:pt>
                <c:pt idx="58">
                  <c:v>3</c:v>
                </c:pt>
                <c:pt idx="59">
                  <c:v>1</c:v>
                </c:pt>
                <c:pt idx="60">
                  <c:v>4</c:v>
                </c:pt>
                <c:pt idx="61">
                  <c:v>4</c:v>
                </c:pt>
                <c:pt idx="62">
                  <c:v>4</c:v>
                </c:pt>
                <c:pt idx="63">
                  <c:v>3</c:v>
                </c:pt>
                <c:pt idx="64">
                  <c:v>2</c:v>
                </c:pt>
                <c:pt idx="65">
                  <c:v>4</c:v>
                </c:pt>
                <c:pt idx="66">
                  <c:v>7</c:v>
                </c:pt>
                <c:pt idx="67">
                  <c:v>7</c:v>
                </c:pt>
                <c:pt idx="68">
                  <c:v>16</c:v>
                </c:pt>
                <c:pt idx="69">
                  <c:v>10</c:v>
                </c:pt>
                <c:pt idx="70">
                  <c:v>10</c:v>
                </c:pt>
                <c:pt idx="71">
                  <c:v>8</c:v>
                </c:pt>
                <c:pt idx="72">
                  <c:v>12</c:v>
                </c:pt>
                <c:pt idx="73">
                  <c:v>11</c:v>
                </c:pt>
                <c:pt idx="74">
                  <c:v>18</c:v>
                </c:pt>
                <c:pt idx="75">
                  <c:v>15</c:v>
                </c:pt>
                <c:pt idx="76">
                  <c:v>16</c:v>
                </c:pt>
                <c:pt idx="77">
                  <c:v>14</c:v>
                </c:pt>
                <c:pt idx="78">
                  <c:v>28</c:v>
                </c:pt>
                <c:pt idx="79">
                  <c:v>34</c:v>
                </c:pt>
                <c:pt idx="80">
                  <c:v>62</c:v>
                </c:pt>
                <c:pt idx="81">
                  <c:v>74</c:v>
                </c:pt>
                <c:pt idx="82">
                  <c:v>98</c:v>
                </c:pt>
              </c:numCache>
            </c:numRef>
          </c:yVal>
          <c:smooth val="0"/>
          <c:extLst>
            <c:ext xmlns:c16="http://schemas.microsoft.com/office/drawing/2014/chart" uri="{C3380CC4-5D6E-409C-BE32-E72D297353CC}">
              <c16:uniqueId val="{00000001-7586-4BFC-8A02-7D35E30D25D0}"/>
            </c:ext>
          </c:extLst>
        </c:ser>
        <c:ser>
          <c:idx val="0"/>
          <c:order val="2"/>
          <c:tx>
            <c:strRef>
              <c:f>'SC1'!$E$1</c:f>
              <c:strCache>
                <c:ptCount val="1"/>
                <c:pt idx="0">
                  <c:v>Zoology, TP = 402</c:v>
                </c:pt>
              </c:strCache>
            </c:strRef>
          </c:tx>
          <c:spPr>
            <a:ln w="12700">
              <a:solidFill>
                <a:srgbClr val="000000"/>
              </a:solidFill>
            </a:ln>
          </c:spPr>
          <c:marker>
            <c:symbol val="triangle"/>
            <c:size val="5"/>
            <c:spPr>
              <a:solidFill>
                <a:schemeClr val="tx1"/>
              </a:solidFill>
              <a:ln w="9525">
                <a:solidFill>
                  <a:srgbClr val="000000"/>
                </a:solidFill>
              </a:ln>
            </c:spPr>
          </c:marker>
          <c:xVal>
            <c:numRef>
              <c:f>'SC1'!$A$2:$A$84</c:f>
              <c:numCache>
                <c:formatCode>General</c:formatCode>
                <c:ptCount val="83"/>
                <c:pt idx="0">
                  <c:v>1935</c:v>
                </c:pt>
                <c:pt idx="1">
                  <c:v>1936</c:v>
                </c:pt>
                <c:pt idx="2">
                  <c:v>1937</c:v>
                </c:pt>
                <c:pt idx="3">
                  <c:v>1938</c:v>
                </c:pt>
                <c:pt idx="4">
                  <c:v>1939</c:v>
                </c:pt>
                <c:pt idx="5">
                  <c:v>1940</c:v>
                </c:pt>
                <c:pt idx="6">
                  <c:v>1941</c:v>
                </c:pt>
                <c:pt idx="7">
                  <c:v>1942</c:v>
                </c:pt>
                <c:pt idx="8">
                  <c:v>1943</c:v>
                </c:pt>
                <c:pt idx="9">
                  <c:v>1944</c:v>
                </c:pt>
                <c:pt idx="10">
                  <c:v>1945</c:v>
                </c:pt>
                <c:pt idx="11">
                  <c:v>1946</c:v>
                </c:pt>
                <c:pt idx="12">
                  <c:v>1947</c:v>
                </c:pt>
                <c:pt idx="13">
                  <c:v>1948</c:v>
                </c:pt>
                <c:pt idx="14">
                  <c:v>1949</c:v>
                </c:pt>
                <c:pt idx="15">
                  <c:v>1950</c:v>
                </c:pt>
                <c:pt idx="16">
                  <c:v>1951</c:v>
                </c:pt>
                <c:pt idx="17">
                  <c:v>1952</c:v>
                </c:pt>
                <c:pt idx="18">
                  <c:v>1953</c:v>
                </c:pt>
                <c:pt idx="19">
                  <c:v>1954</c:v>
                </c:pt>
                <c:pt idx="20">
                  <c:v>1955</c:v>
                </c:pt>
                <c:pt idx="21">
                  <c:v>1956</c:v>
                </c:pt>
                <c:pt idx="22">
                  <c:v>1957</c:v>
                </c:pt>
                <c:pt idx="23">
                  <c:v>1958</c:v>
                </c:pt>
                <c:pt idx="24">
                  <c:v>1959</c:v>
                </c:pt>
                <c:pt idx="25">
                  <c:v>1960</c:v>
                </c:pt>
                <c:pt idx="26">
                  <c:v>1961</c:v>
                </c:pt>
                <c:pt idx="27">
                  <c:v>1962</c:v>
                </c:pt>
                <c:pt idx="28">
                  <c:v>1963</c:v>
                </c:pt>
                <c:pt idx="29">
                  <c:v>1964</c:v>
                </c:pt>
                <c:pt idx="30">
                  <c:v>1965</c:v>
                </c:pt>
                <c:pt idx="31">
                  <c:v>1966</c:v>
                </c:pt>
                <c:pt idx="32">
                  <c:v>1967</c:v>
                </c:pt>
                <c:pt idx="33">
                  <c:v>1968</c:v>
                </c:pt>
                <c:pt idx="34">
                  <c:v>1969</c:v>
                </c:pt>
                <c:pt idx="35">
                  <c:v>1970</c:v>
                </c:pt>
                <c:pt idx="36">
                  <c:v>1971</c:v>
                </c:pt>
                <c:pt idx="37">
                  <c:v>1972</c:v>
                </c:pt>
                <c:pt idx="38">
                  <c:v>1973</c:v>
                </c:pt>
                <c:pt idx="39">
                  <c:v>1974</c:v>
                </c:pt>
                <c:pt idx="40">
                  <c:v>1975</c:v>
                </c:pt>
                <c:pt idx="41">
                  <c:v>1976</c:v>
                </c:pt>
                <c:pt idx="42">
                  <c:v>1977</c:v>
                </c:pt>
                <c:pt idx="43">
                  <c:v>1978</c:v>
                </c:pt>
                <c:pt idx="44">
                  <c:v>1979</c:v>
                </c:pt>
                <c:pt idx="45">
                  <c:v>1980</c:v>
                </c:pt>
                <c:pt idx="46">
                  <c:v>1981</c:v>
                </c:pt>
                <c:pt idx="47">
                  <c:v>1982</c:v>
                </c:pt>
                <c:pt idx="48">
                  <c:v>1983</c:v>
                </c:pt>
                <c:pt idx="49">
                  <c:v>1984</c:v>
                </c:pt>
                <c:pt idx="50">
                  <c:v>1985</c:v>
                </c:pt>
                <c:pt idx="51">
                  <c:v>1986</c:v>
                </c:pt>
                <c:pt idx="52">
                  <c:v>1987</c:v>
                </c:pt>
                <c:pt idx="53">
                  <c:v>1988</c:v>
                </c:pt>
                <c:pt idx="54">
                  <c:v>1989</c:v>
                </c:pt>
                <c:pt idx="55">
                  <c:v>1990</c:v>
                </c:pt>
                <c:pt idx="56">
                  <c:v>1991</c:v>
                </c:pt>
                <c:pt idx="57">
                  <c:v>1992</c:v>
                </c:pt>
                <c:pt idx="58">
                  <c:v>1993</c:v>
                </c:pt>
                <c:pt idx="59">
                  <c:v>1994</c:v>
                </c:pt>
                <c:pt idx="60">
                  <c:v>1995</c:v>
                </c:pt>
                <c:pt idx="61">
                  <c:v>1996</c:v>
                </c:pt>
                <c:pt idx="62">
                  <c:v>1997</c:v>
                </c:pt>
                <c:pt idx="63">
                  <c:v>1998</c:v>
                </c:pt>
                <c:pt idx="64">
                  <c:v>1999</c:v>
                </c:pt>
                <c:pt idx="65">
                  <c:v>2000</c:v>
                </c:pt>
                <c:pt idx="66">
                  <c:v>2001</c:v>
                </c:pt>
                <c:pt idx="67">
                  <c:v>2002</c:v>
                </c:pt>
                <c:pt idx="68">
                  <c:v>2003</c:v>
                </c:pt>
                <c:pt idx="69">
                  <c:v>2004</c:v>
                </c:pt>
                <c:pt idx="70">
                  <c:v>2005</c:v>
                </c:pt>
                <c:pt idx="71">
                  <c:v>2006</c:v>
                </c:pt>
                <c:pt idx="72">
                  <c:v>2007</c:v>
                </c:pt>
                <c:pt idx="73">
                  <c:v>2008</c:v>
                </c:pt>
                <c:pt idx="74">
                  <c:v>2009</c:v>
                </c:pt>
                <c:pt idx="75">
                  <c:v>2010</c:v>
                </c:pt>
                <c:pt idx="76">
                  <c:v>2011</c:v>
                </c:pt>
                <c:pt idx="77">
                  <c:v>2012</c:v>
                </c:pt>
                <c:pt idx="78">
                  <c:v>2013</c:v>
                </c:pt>
                <c:pt idx="79">
                  <c:v>2014</c:v>
                </c:pt>
                <c:pt idx="80">
                  <c:v>2015</c:v>
                </c:pt>
                <c:pt idx="81">
                  <c:v>2016</c:v>
                </c:pt>
                <c:pt idx="82">
                  <c:v>2017</c:v>
                </c:pt>
              </c:numCache>
            </c:numRef>
          </c:xVal>
          <c:yVal>
            <c:numRef>
              <c:f>'SC1'!$E$2:$E$84</c:f>
              <c:numCache>
                <c:formatCode>General</c:formatCode>
                <c:ptCount val="83"/>
                <c:pt idx="41">
                  <c:v>1</c:v>
                </c:pt>
                <c:pt idx="42">
                  <c:v>0</c:v>
                </c:pt>
                <c:pt idx="43">
                  <c:v>1</c:v>
                </c:pt>
                <c:pt idx="44">
                  <c:v>0</c:v>
                </c:pt>
                <c:pt idx="45">
                  <c:v>1</c:v>
                </c:pt>
                <c:pt idx="46">
                  <c:v>0</c:v>
                </c:pt>
                <c:pt idx="47">
                  <c:v>0</c:v>
                </c:pt>
                <c:pt idx="48">
                  <c:v>3</c:v>
                </c:pt>
                <c:pt idx="49">
                  <c:v>0</c:v>
                </c:pt>
                <c:pt idx="50">
                  <c:v>0</c:v>
                </c:pt>
                <c:pt idx="51">
                  <c:v>0</c:v>
                </c:pt>
                <c:pt idx="52">
                  <c:v>0</c:v>
                </c:pt>
                <c:pt idx="53">
                  <c:v>1</c:v>
                </c:pt>
                <c:pt idx="54">
                  <c:v>0</c:v>
                </c:pt>
                <c:pt idx="55">
                  <c:v>1</c:v>
                </c:pt>
                <c:pt idx="56">
                  <c:v>0</c:v>
                </c:pt>
                <c:pt idx="57">
                  <c:v>1</c:v>
                </c:pt>
                <c:pt idx="58">
                  <c:v>0</c:v>
                </c:pt>
                <c:pt idx="59">
                  <c:v>0</c:v>
                </c:pt>
                <c:pt idx="60">
                  <c:v>5</c:v>
                </c:pt>
                <c:pt idx="61">
                  <c:v>3</c:v>
                </c:pt>
                <c:pt idx="62">
                  <c:v>2</c:v>
                </c:pt>
                <c:pt idx="63">
                  <c:v>4</c:v>
                </c:pt>
                <c:pt idx="64">
                  <c:v>4</c:v>
                </c:pt>
                <c:pt idx="65">
                  <c:v>6</c:v>
                </c:pt>
                <c:pt idx="66">
                  <c:v>3</c:v>
                </c:pt>
                <c:pt idx="67">
                  <c:v>6</c:v>
                </c:pt>
                <c:pt idx="68">
                  <c:v>6</c:v>
                </c:pt>
                <c:pt idx="69">
                  <c:v>10</c:v>
                </c:pt>
                <c:pt idx="70">
                  <c:v>8</c:v>
                </c:pt>
                <c:pt idx="71">
                  <c:v>15</c:v>
                </c:pt>
                <c:pt idx="72">
                  <c:v>12</c:v>
                </c:pt>
                <c:pt idx="73">
                  <c:v>17</c:v>
                </c:pt>
                <c:pt idx="74">
                  <c:v>15</c:v>
                </c:pt>
                <c:pt idx="75">
                  <c:v>17</c:v>
                </c:pt>
                <c:pt idx="76">
                  <c:v>18</c:v>
                </c:pt>
                <c:pt idx="77">
                  <c:v>29</c:v>
                </c:pt>
                <c:pt idx="78">
                  <c:v>26</c:v>
                </c:pt>
                <c:pt idx="79">
                  <c:v>31</c:v>
                </c:pt>
                <c:pt idx="80">
                  <c:v>40</c:v>
                </c:pt>
                <c:pt idx="81">
                  <c:v>59</c:v>
                </c:pt>
                <c:pt idx="82">
                  <c:v>57</c:v>
                </c:pt>
              </c:numCache>
            </c:numRef>
          </c:yVal>
          <c:smooth val="0"/>
          <c:extLst>
            <c:ext xmlns:c16="http://schemas.microsoft.com/office/drawing/2014/chart" uri="{C3380CC4-5D6E-409C-BE32-E72D297353CC}">
              <c16:uniqueId val="{00000002-7586-4BFC-8A02-7D35E30D25D0}"/>
            </c:ext>
          </c:extLst>
        </c:ser>
        <c:ser>
          <c:idx val="2"/>
          <c:order val="3"/>
          <c:tx>
            <c:strRef>
              <c:f>'SC1'!$F$1</c:f>
              <c:strCache>
                <c:ptCount val="1"/>
                <c:pt idx="0">
                  <c:v>Particles and Fields Physics, TP = 375</c:v>
                </c:pt>
              </c:strCache>
            </c:strRef>
          </c:tx>
          <c:spPr>
            <a:ln w="12700">
              <a:solidFill>
                <a:schemeClr val="tx1"/>
              </a:solidFill>
            </a:ln>
          </c:spPr>
          <c:marker>
            <c:symbol val="circle"/>
            <c:size val="5"/>
            <c:spPr>
              <a:solidFill>
                <a:schemeClr val="tx1"/>
              </a:solidFill>
              <a:ln w="9525">
                <a:solidFill>
                  <a:schemeClr val="tx1"/>
                </a:solidFill>
              </a:ln>
            </c:spPr>
          </c:marker>
          <c:xVal>
            <c:numRef>
              <c:f>'SC1'!$A$2:$A$84</c:f>
              <c:numCache>
                <c:formatCode>General</c:formatCode>
                <c:ptCount val="83"/>
                <c:pt idx="0">
                  <c:v>1935</c:v>
                </c:pt>
                <c:pt idx="1">
                  <c:v>1936</c:v>
                </c:pt>
                <c:pt idx="2">
                  <c:v>1937</c:v>
                </c:pt>
                <c:pt idx="3">
                  <c:v>1938</c:v>
                </c:pt>
                <c:pt idx="4">
                  <c:v>1939</c:v>
                </c:pt>
                <c:pt idx="5">
                  <c:v>1940</c:v>
                </c:pt>
                <c:pt idx="6">
                  <c:v>1941</c:v>
                </c:pt>
                <c:pt idx="7">
                  <c:v>1942</c:v>
                </c:pt>
                <c:pt idx="8">
                  <c:v>1943</c:v>
                </c:pt>
                <c:pt idx="9">
                  <c:v>1944</c:v>
                </c:pt>
                <c:pt idx="10">
                  <c:v>1945</c:v>
                </c:pt>
                <c:pt idx="11">
                  <c:v>1946</c:v>
                </c:pt>
                <c:pt idx="12">
                  <c:v>1947</c:v>
                </c:pt>
                <c:pt idx="13">
                  <c:v>1948</c:v>
                </c:pt>
                <c:pt idx="14">
                  <c:v>1949</c:v>
                </c:pt>
                <c:pt idx="15">
                  <c:v>1950</c:v>
                </c:pt>
                <c:pt idx="16">
                  <c:v>1951</c:v>
                </c:pt>
                <c:pt idx="17">
                  <c:v>1952</c:v>
                </c:pt>
                <c:pt idx="18">
                  <c:v>1953</c:v>
                </c:pt>
                <c:pt idx="19">
                  <c:v>1954</c:v>
                </c:pt>
                <c:pt idx="20">
                  <c:v>1955</c:v>
                </c:pt>
                <c:pt idx="21">
                  <c:v>1956</c:v>
                </c:pt>
                <c:pt idx="22">
                  <c:v>1957</c:v>
                </c:pt>
                <c:pt idx="23">
                  <c:v>1958</c:v>
                </c:pt>
                <c:pt idx="24">
                  <c:v>1959</c:v>
                </c:pt>
                <c:pt idx="25">
                  <c:v>1960</c:v>
                </c:pt>
                <c:pt idx="26">
                  <c:v>1961</c:v>
                </c:pt>
                <c:pt idx="27">
                  <c:v>1962</c:v>
                </c:pt>
                <c:pt idx="28">
                  <c:v>1963</c:v>
                </c:pt>
                <c:pt idx="29">
                  <c:v>1964</c:v>
                </c:pt>
                <c:pt idx="30">
                  <c:v>1965</c:v>
                </c:pt>
                <c:pt idx="31">
                  <c:v>1966</c:v>
                </c:pt>
                <c:pt idx="32">
                  <c:v>1967</c:v>
                </c:pt>
                <c:pt idx="33">
                  <c:v>1968</c:v>
                </c:pt>
                <c:pt idx="34">
                  <c:v>1969</c:v>
                </c:pt>
                <c:pt idx="35">
                  <c:v>1970</c:v>
                </c:pt>
                <c:pt idx="36">
                  <c:v>1971</c:v>
                </c:pt>
                <c:pt idx="37">
                  <c:v>1972</c:v>
                </c:pt>
                <c:pt idx="38">
                  <c:v>1973</c:v>
                </c:pt>
                <c:pt idx="39">
                  <c:v>1974</c:v>
                </c:pt>
                <c:pt idx="40">
                  <c:v>1975</c:v>
                </c:pt>
                <c:pt idx="41">
                  <c:v>1976</c:v>
                </c:pt>
                <c:pt idx="42">
                  <c:v>1977</c:v>
                </c:pt>
                <c:pt idx="43">
                  <c:v>1978</c:v>
                </c:pt>
                <c:pt idx="44">
                  <c:v>1979</c:v>
                </c:pt>
                <c:pt idx="45">
                  <c:v>1980</c:v>
                </c:pt>
                <c:pt idx="46">
                  <c:v>1981</c:v>
                </c:pt>
                <c:pt idx="47">
                  <c:v>1982</c:v>
                </c:pt>
                <c:pt idx="48">
                  <c:v>1983</c:v>
                </c:pt>
                <c:pt idx="49">
                  <c:v>1984</c:v>
                </c:pt>
                <c:pt idx="50">
                  <c:v>1985</c:v>
                </c:pt>
                <c:pt idx="51">
                  <c:v>1986</c:v>
                </c:pt>
                <c:pt idx="52">
                  <c:v>1987</c:v>
                </c:pt>
                <c:pt idx="53">
                  <c:v>1988</c:v>
                </c:pt>
                <c:pt idx="54">
                  <c:v>1989</c:v>
                </c:pt>
                <c:pt idx="55">
                  <c:v>1990</c:v>
                </c:pt>
                <c:pt idx="56">
                  <c:v>1991</c:v>
                </c:pt>
                <c:pt idx="57">
                  <c:v>1992</c:v>
                </c:pt>
                <c:pt idx="58">
                  <c:v>1993</c:v>
                </c:pt>
                <c:pt idx="59">
                  <c:v>1994</c:v>
                </c:pt>
                <c:pt idx="60">
                  <c:v>1995</c:v>
                </c:pt>
                <c:pt idx="61">
                  <c:v>1996</c:v>
                </c:pt>
                <c:pt idx="62">
                  <c:v>1997</c:v>
                </c:pt>
                <c:pt idx="63">
                  <c:v>1998</c:v>
                </c:pt>
                <c:pt idx="64">
                  <c:v>1999</c:v>
                </c:pt>
                <c:pt idx="65">
                  <c:v>2000</c:v>
                </c:pt>
                <c:pt idx="66">
                  <c:v>2001</c:v>
                </c:pt>
                <c:pt idx="67">
                  <c:v>2002</c:v>
                </c:pt>
                <c:pt idx="68">
                  <c:v>2003</c:v>
                </c:pt>
                <c:pt idx="69">
                  <c:v>2004</c:v>
                </c:pt>
                <c:pt idx="70">
                  <c:v>2005</c:v>
                </c:pt>
                <c:pt idx="71">
                  <c:v>2006</c:v>
                </c:pt>
                <c:pt idx="72">
                  <c:v>2007</c:v>
                </c:pt>
                <c:pt idx="73">
                  <c:v>2008</c:v>
                </c:pt>
                <c:pt idx="74">
                  <c:v>2009</c:v>
                </c:pt>
                <c:pt idx="75">
                  <c:v>2010</c:v>
                </c:pt>
                <c:pt idx="76">
                  <c:v>2011</c:v>
                </c:pt>
                <c:pt idx="77">
                  <c:v>2012</c:v>
                </c:pt>
                <c:pt idx="78">
                  <c:v>2013</c:v>
                </c:pt>
                <c:pt idx="79">
                  <c:v>2014</c:v>
                </c:pt>
                <c:pt idx="80">
                  <c:v>2015</c:v>
                </c:pt>
                <c:pt idx="81">
                  <c:v>2016</c:v>
                </c:pt>
                <c:pt idx="82">
                  <c:v>2017</c:v>
                </c:pt>
              </c:numCache>
            </c:numRef>
          </c:xVal>
          <c:yVal>
            <c:numRef>
              <c:f>'SC1'!$F$2:$F$84</c:f>
              <c:numCache>
                <c:formatCode>General</c:formatCode>
                <c:ptCount val="83"/>
                <c:pt idx="56">
                  <c:v>3</c:v>
                </c:pt>
                <c:pt idx="57">
                  <c:v>1</c:v>
                </c:pt>
                <c:pt idx="58">
                  <c:v>1</c:v>
                </c:pt>
                <c:pt idx="59">
                  <c:v>0</c:v>
                </c:pt>
                <c:pt idx="60">
                  <c:v>1</c:v>
                </c:pt>
                <c:pt idx="61">
                  <c:v>0</c:v>
                </c:pt>
                <c:pt idx="62">
                  <c:v>0</c:v>
                </c:pt>
                <c:pt idx="63">
                  <c:v>1</c:v>
                </c:pt>
                <c:pt idx="64">
                  <c:v>3</c:v>
                </c:pt>
                <c:pt idx="65">
                  <c:v>8</c:v>
                </c:pt>
                <c:pt idx="66">
                  <c:v>9</c:v>
                </c:pt>
                <c:pt idx="67">
                  <c:v>6</c:v>
                </c:pt>
                <c:pt idx="68">
                  <c:v>2</c:v>
                </c:pt>
                <c:pt idx="69">
                  <c:v>3</c:v>
                </c:pt>
                <c:pt idx="70">
                  <c:v>11</c:v>
                </c:pt>
                <c:pt idx="71">
                  <c:v>17</c:v>
                </c:pt>
                <c:pt idx="72">
                  <c:v>15</c:v>
                </c:pt>
                <c:pt idx="73">
                  <c:v>13</c:v>
                </c:pt>
                <c:pt idx="74">
                  <c:v>18</c:v>
                </c:pt>
                <c:pt idx="75">
                  <c:v>17</c:v>
                </c:pt>
                <c:pt idx="76">
                  <c:v>29</c:v>
                </c:pt>
                <c:pt idx="77">
                  <c:v>30</c:v>
                </c:pt>
                <c:pt idx="78">
                  <c:v>26</c:v>
                </c:pt>
                <c:pt idx="79">
                  <c:v>16</c:v>
                </c:pt>
                <c:pt idx="80">
                  <c:v>7</c:v>
                </c:pt>
                <c:pt idx="81">
                  <c:v>33</c:v>
                </c:pt>
                <c:pt idx="82">
                  <c:v>105</c:v>
                </c:pt>
              </c:numCache>
            </c:numRef>
          </c:yVal>
          <c:smooth val="0"/>
          <c:extLst>
            <c:ext xmlns:c16="http://schemas.microsoft.com/office/drawing/2014/chart" uri="{C3380CC4-5D6E-409C-BE32-E72D297353CC}">
              <c16:uniqueId val="{00000003-7586-4BFC-8A02-7D35E30D25D0}"/>
            </c:ext>
          </c:extLst>
        </c:ser>
        <c:ser>
          <c:idx val="3"/>
          <c:order val="4"/>
          <c:tx>
            <c:strRef>
              <c:f>'SC1'!$G$1</c:f>
              <c:strCache>
                <c:ptCount val="1"/>
                <c:pt idx="0">
                  <c:v>Public, Environmental and Occupational Health, TP = 339</c:v>
                </c:pt>
              </c:strCache>
            </c:strRef>
          </c:tx>
          <c:spPr>
            <a:ln w="12700">
              <a:solidFill>
                <a:schemeClr val="tx1"/>
              </a:solidFill>
            </a:ln>
          </c:spPr>
          <c:marker>
            <c:symbol val="square"/>
            <c:size val="5"/>
            <c:spPr>
              <a:noFill/>
              <a:ln w="12700">
                <a:solidFill>
                  <a:schemeClr val="tx1"/>
                </a:solidFill>
              </a:ln>
            </c:spPr>
          </c:marker>
          <c:xVal>
            <c:numRef>
              <c:f>'SC1'!$A$2:$A$84</c:f>
              <c:numCache>
                <c:formatCode>General</c:formatCode>
                <c:ptCount val="83"/>
                <c:pt idx="0">
                  <c:v>1935</c:v>
                </c:pt>
                <c:pt idx="1">
                  <c:v>1936</c:v>
                </c:pt>
                <c:pt idx="2">
                  <c:v>1937</c:v>
                </c:pt>
                <c:pt idx="3">
                  <c:v>1938</c:v>
                </c:pt>
                <c:pt idx="4">
                  <c:v>1939</c:v>
                </c:pt>
                <c:pt idx="5">
                  <c:v>1940</c:v>
                </c:pt>
                <c:pt idx="6">
                  <c:v>1941</c:v>
                </c:pt>
                <c:pt idx="7">
                  <c:v>1942</c:v>
                </c:pt>
                <c:pt idx="8">
                  <c:v>1943</c:v>
                </c:pt>
                <c:pt idx="9">
                  <c:v>1944</c:v>
                </c:pt>
                <c:pt idx="10">
                  <c:v>1945</c:v>
                </c:pt>
                <c:pt idx="11">
                  <c:v>1946</c:v>
                </c:pt>
                <c:pt idx="12">
                  <c:v>1947</c:v>
                </c:pt>
                <c:pt idx="13">
                  <c:v>1948</c:v>
                </c:pt>
                <c:pt idx="14">
                  <c:v>1949</c:v>
                </c:pt>
                <c:pt idx="15">
                  <c:v>1950</c:v>
                </c:pt>
                <c:pt idx="16">
                  <c:v>1951</c:v>
                </c:pt>
                <c:pt idx="17">
                  <c:v>1952</c:v>
                </c:pt>
                <c:pt idx="18">
                  <c:v>1953</c:v>
                </c:pt>
                <c:pt idx="19">
                  <c:v>1954</c:v>
                </c:pt>
                <c:pt idx="20">
                  <c:v>1955</c:v>
                </c:pt>
                <c:pt idx="21">
                  <c:v>1956</c:v>
                </c:pt>
                <c:pt idx="22">
                  <c:v>1957</c:v>
                </c:pt>
                <c:pt idx="23">
                  <c:v>1958</c:v>
                </c:pt>
                <c:pt idx="24">
                  <c:v>1959</c:v>
                </c:pt>
                <c:pt idx="25">
                  <c:v>1960</c:v>
                </c:pt>
                <c:pt idx="26">
                  <c:v>1961</c:v>
                </c:pt>
                <c:pt idx="27">
                  <c:v>1962</c:v>
                </c:pt>
                <c:pt idx="28">
                  <c:v>1963</c:v>
                </c:pt>
                <c:pt idx="29">
                  <c:v>1964</c:v>
                </c:pt>
                <c:pt idx="30">
                  <c:v>1965</c:v>
                </c:pt>
                <c:pt idx="31">
                  <c:v>1966</c:v>
                </c:pt>
                <c:pt idx="32">
                  <c:v>1967</c:v>
                </c:pt>
                <c:pt idx="33">
                  <c:v>1968</c:v>
                </c:pt>
                <c:pt idx="34">
                  <c:v>1969</c:v>
                </c:pt>
                <c:pt idx="35">
                  <c:v>1970</c:v>
                </c:pt>
                <c:pt idx="36">
                  <c:v>1971</c:v>
                </c:pt>
                <c:pt idx="37">
                  <c:v>1972</c:v>
                </c:pt>
                <c:pt idx="38">
                  <c:v>1973</c:v>
                </c:pt>
                <c:pt idx="39">
                  <c:v>1974</c:v>
                </c:pt>
                <c:pt idx="40">
                  <c:v>1975</c:v>
                </c:pt>
                <c:pt idx="41">
                  <c:v>1976</c:v>
                </c:pt>
                <c:pt idx="42">
                  <c:v>1977</c:v>
                </c:pt>
                <c:pt idx="43">
                  <c:v>1978</c:v>
                </c:pt>
                <c:pt idx="44">
                  <c:v>1979</c:v>
                </c:pt>
                <c:pt idx="45">
                  <c:v>1980</c:v>
                </c:pt>
                <c:pt idx="46">
                  <c:v>1981</c:v>
                </c:pt>
                <c:pt idx="47">
                  <c:v>1982</c:v>
                </c:pt>
                <c:pt idx="48">
                  <c:v>1983</c:v>
                </c:pt>
                <c:pt idx="49">
                  <c:v>1984</c:v>
                </c:pt>
                <c:pt idx="50">
                  <c:v>1985</c:v>
                </c:pt>
                <c:pt idx="51">
                  <c:v>1986</c:v>
                </c:pt>
                <c:pt idx="52">
                  <c:v>1987</c:v>
                </c:pt>
                <c:pt idx="53">
                  <c:v>1988</c:v>
                </c:pt>
                <c:pt idx="54">
                  <c:v>1989</c:v>
                </c:pt>
                <c:pt idx="55">
                  <c:v>1990</c:v>
                </c:pt>
                <c:pt idx="56">
                  <c:v>1991</c:v>
                </c:pt>
                <c:pt idx="57">
                  <c:v>1992</c:v>
                </c:pt>
                <c:pt idx="58">
                  <c:v>1993</c:v>
                </c:pt>
                <c:pt idx="59">
                  <c:v>1994</c:v>
                </c:pt>
                <c:pt idx="60">
                  <c:v>1995</c:v>
                </c:pt>
                <c:pt idx="61">
                  <c:v>1996</c:v>
                </c:pt>
                <c:pt idx="62">
                  <c:v>1997</c:v>
                </c:pt>
                <c:pt idx="63">
                  <c:v>1998</c:v>
                </c:pt>
                <c:pt idx="64">
                  <c:v>1999</c:v>
                </c:pt>
                <c:pt idx="65">
                  <c:v>2000</c:v>
                </c:pt>
                <c:pt idx="66">
                  <c:v>2001</c:v>
                </c:pt>
                <c:pt idx="67">
                  <c:v>2002</c:v>
                </c:pt>
                <c:pt idx="68">
                  <c:v>2003</c:v>
                </c:pt>
                <c:pt idx="69">
                  <c:v>2004</c:v>
                </c:pt>
                <c:pt idx="70">
                  <c:v>2005</c:v>
                </c:pt>
                <c:pt idx="71">
                  <c:v>2006</c:v>
                </c:pt>
                <c:pt idx="72">
                  <c:v>2007</c:v>
                </c:pt>
                <c:pt idx="73">
                  <c:v>2008</c:v>
                </c:pt>
                <c:pt idx="74">
                  <c:v>2009</c:v>
                </c:pt>
                <c:pt idx="75">
                  <c:v>2010</c:v>
                </c:pt>
                <c:pt idx="76">
                  <c:v>2011</c:v>
                </c:pt>
                <c:pt idx="77">
                  <c:v>2012</c:v>
                </c:pt>
                <c:pt idx="78">
                  <c:v>2013</c:v>
                </c:pt>
                <c:pt idx="79">
                  <c:v>2014</c:v>
                </c:pt>
                <c:pt idx="80">
                  <c:v>2015</c:v>
                </c:pt>
                <c:pt idx="81">
                  <c:v>2016</c:v>
                </c:pt>
                <c:pt idx="82">
                  <c:v>2017</c:v>
                </c:pt>
              </c:numCache>
            </c:numRef>
          </c:xVal>
          <c:yVal>
            <c:numRef>
              <c:f>'SC1'!$G$2:$G$84</c:f>
              <c:numCache>
                <c:formatCode>General</c:formatCode>
                <c:ptCount val="83"/>
                <c:pt idx="38">
                  <c:v>1</c:v>
                </c:pt>
                <c:pt idx="39">
                  <c:v>0</c:v>
                </c:pt>
                <c:pt idx="40">
                  <c:v>4</c:v>
                </c:pt>
                <c:pt idx="41">
                  <c:v>1</c:v>
                </c:pt>
                <c:pt idx="42">
                  <c:v>0</c:v>
                </c:pt>
                <c:pt idx="43">
                  <c:v>1</c:v>
                </c:pt>
                <c:pt idx="44">
                  <c:v>0</c:v>
                </c:pt>
                <c:pt idx="45">
                  <c:v>2</c:v>
                </c:pt>
                <c:pt idx="46">
                  <c:v>2</c:v>
                </c:pt>
                <c:pt idx="47">
                  <c:v>1</c:v>
                </c:pt>
                <c:pt idx="48">
                  <c:v>1</c:v>
                </c:pt>
                <c:pt idx="49">
                  <c:v>4</c:v>
                </c:pt>
                <c:pt idx="50">
                  <c:v>8</c:v>
                </c:pt>
                <c:pt idx="51">
                  <c:v>1</c:v>
                </c:pt>
                <c:pt idx="52">
                  <c:v>3</c:v>
                </c:pt>
                <c:pt idx="53">
                  <c:v>1</c:v>
                </c:pt>
                <c:pt idx="54">
                  <c:v>3</c:v>
                </c:pt>
                <c:pt idx="55">
                  <c:v>2</c:v>
                </c:pt>
                <c:pt idx="56">
                  <c:v>11</c:v>
                </c:pt>
                <c:pt idx="57">
                  <c:v>3</c:v>
                </c:pt>
                <c:pt idx="58">
                  <c:v>2</c:v>
                </c:pt>
                <c:pt idx="59">
                  <c:v>3</c:v>
                </c:pt>
                <c:pt idx="60">
                  <c:v>7</c:v>
                </c:pt>
                <c:pt idx="61">
                  <c:v>4</c:v>
                </c:pt>
                <c:pt idx="62">
                  <c:v>14</c:v>
                </c:pt>
                <c:pt idx="63">
                  <c:v>6</c:v>
                </c:pt>
                <c:pt idx="64">
                  <c:v>9</c:v>
                </c:pt>
                <c:pt idx="65">
                  <c:v>5</c:v>
                </c:pt>
                <c:pt idx="66">
                  <c:v>3</c:v>
                </c:pt>
                <c:pt idx="67">
                  <c:v>8</c:v>
                </c:pt>
                <c:pt idx="68">
                  <c:v>10</c:v>
                </c:pt>
                <c:pt idx="69">
                  <c:v>7</c:v>
                </c:pt>
                <c:pt idx="70">
                  <c:v>8</c:v>
                </c:pt>
                <c:pt idx="71">
                  <c:v>8</c:v>
                </c:pt>
                <c:pt idx="72">
                  <c:v>15</c:v>
                </c:pt>
                <c:pt idx="73">
                  <c:v>10</c:v>
                </c:pt>
                <c:pt idx="74">
                  <c:v>11</c:v>
                </c:pt>
                <c:pt idx="75">
                  <c:v>9</c:v>
                </c:pt>
                <c:pt idx="76">
                  <c:v>8</c:v>
                </c:pt>
                <c:pt idx="77">
                  <c:v>15</c:v>
                </c:pt>
                <c:pt idx="78">
                  <c:v>24</c:v>
                </c:pt>
                <c:pt idx="79">
                  <c:v>18</c:v>
                </c:pt>
                <c:pt idx="80">
                  <c:v>25</c:v>
                </c:pt>
                <c:pt idx="81">
                  <c:v>27</c:v>
                </c:pt>
                <c:pt idx="82">
                  <c:v>34</c:v>
                </c:pt>
              </c:numCache>
            </c:numRef>
          </c:yVal>
          <c:smooth val="0"/>
          <c:extLst>
            <c:ext xmlns:c16="http://schemas.microsoft.com/office/drawing/2014/chart" uri="{C3380CC4-5D6E-409C-BE32-E72D297353CC}">
              <c16:uniqueId val="{00000004-7586-4BFC-8A02-7D35E30D25D0}"/>
            </c:ext>
          </c:extLst>
        </c:ser>
        <c:dLbls>
          <c:showLegendKey val="0"/>
          <c:showVal val="0"/>
          <c:showCatName val="0"/>
          <c:showSerName val="0"/>
          <c:showPercent val="0"/>
          <c:showBubbleSize val="0"/>
        </c:dLbls>
        <c:axId val="504823088"/>
        <c:axId val="504823648"/>
      </c:scatterChart>
      <c:valAx>
        <c:axId val="504823088"/>
        <c:scaling>
          <c:orientation val="minMax"/>
          <c:min val="1970"/>
        </c:scaling>
        <c:delete val="0"/>
        <c:axPos val="b"/>
        <c:title>
          <c:tx>
            <c:rich>
              <a:bodyPr/>
              <a:lstStyle/>
              <a:p>
                <a:pPr>
                  <a:defRPr sz="1000" b="1" i="0" u="none" strike="noStrike" baseline="0">
                    <a:solidFill>
                      <a:srgbClr val="000000"/>
                    </a:solidFill>
                    <a:latin typeface="Arial"/>
                    <a:ea typeface="Arial"/>
                    <a:cs typeface="Arial"/>
                  </a:defRPr>
                </a:pPr>
                <a:r>
                  <a:rPr lang="en-US" altLang="en-US"/>
                  <a:t>Year</a:t>
                </a:r>
                <a:r>
                  <a:rPr lang="en-US" altLang="en-US" sz="1000" b="1" i="0" u="none" strike="noStrike" kern="1200" baseline="0">
                    <a:solidFill>
                      <a:srgbClr val="000000"/>
                    </a:solidFill>
                    <a:latin typeface="Arial"/>
                    <a:cs typeface="Arial"/>
                  </a:rPr>
                  <a:t> </a:t>
                </a:r>
                <a:endParaRPr lang="en-US" altLang="en-US"/>
              </a:p>
            </c:rich>
          </c:tx>
          <c:layout>
            <c:manualLayout>
              <c:xMode val="edge"/>
              <c:yMode val="edge"/>
              <c:x val="0.49773780984440857"/>
              <c:y val="0.96185941315482615"/>
            </c:manualLayout>
          </c:layout>
          <c:overlay val="0"/>
          <c:spPr>
            <a:noFill/>
            <a:ln w="25400">
              <a:noFill/>
            </a:ln>
          </c:spPr>
        </c:title>
        <c:numFmt formatCode="General" sourceLinked="1"/>
        <c:majorTickMark val="in"/>
        <c:minorTickMark val="none"/>
        <c:tickLblPos val="nextTo"/>
        <c:spPr>
          <a:noFill/>
          <a:ln w="12700">
            <a:solidFill>
              <a:srgbClr val="000000"/>
            </a:solidFill>
            <a:prstDash val="solid"/>
          </a:ln>
        </c:spPr>
        <c:txPr>
          <a:bodyPr rot="5400000" vert="horz"/>
          <a:lstStyle/>
          <a:p>
            <a:pPr>
              <a:defRPr sz="1000" b="0" i="0" u="none" strike="noStrike" baseline="0">
                <a:solidFill>
                  <a:srgbClr val="000000"/>
                </a:solidFill>
                <a:latin typeface="Arial"/>
                <a:ea typeface="Arial"/>
                <a:cs typeface="Arial"/>
              </a:defRPr>
            </a:pPr>
            <a:endParaRPr lang="es-CR"/>
          </a:p>
        </c:txPr>
        <c:crossAx val="504823648"/>
        <c:crosses val="autoZero"/>
        <c:crossBetween val="midCat"/>
      </c:valAx>
      <c:valAx>
        <c:axId val="50482364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ltLang="en-US"/>
                  <a:t>Number</a:t>
                </a:r>
                <a:r>
                  <a:rPr lang="en-US" altLang="en-US" sz="1000" b="1" i="0" u="none" strike="noStrike" kern="1200" baseline="0">
                    <a:solidFill>
                      <a:srgbClr val="000000"/>
                    </a:solidFill>
                    <a:latin typeface="Arial"/>
                    <a:cs typeface="Arial"/>
                  </a:rPr>
                  <a:t> </a:t>
                </a:r>
                <a:r>
                  <a:rPr lang="en-US" altLang="en-US"/>
                  <a:t>of</a:t>
                </a:r>
                <a:r>
                  <a:rPr lang="en-US" altLang="en-US" sz="1000" b="1" i="0" u="none" strike="noStrike" kern="1200" baseline="0">
                    <a:solidFill>
                      <a:srgbClr val="000000"/>
                    </a:solidFill>
                    <a:latin typeface="Arial"/>
                    <a:cs typeface="Arial"/>
                  </a:rPr>
                  <a:t> </a:t>
                </a:r>
                <a:r>
                  <a:rPr lang="en-US" altLang="en-US"/>
                  <a:t>articles</a:t>
                </a:r>
              </a:p>
            </c:rich>
          </c:tx>
          <c:layout>
            <c:manualLayout>
              <c:xMode val="edge"/>
              <c:yMode val="edge"/>
              <c:x val="5.3909271601932122E-4"/>
              <c:y val="0.32536794613177061"/>
            </c:manualLayout>
          </c:layout>
          <c:overlay val="0"/>
          <c:spPr>
            <a:noFill/>
            <a:ln w="25400">
              <a:noFill/>
            </a:ln>
          </c:spPr>
        </c:title>
        <c:numFmt formatCode="General" sourceLinked="1"/>
        <c:majorTickMark val="in"/>
        <c:minorTickMark val="none"/>
        <c:tickLblPos val="nextTo"/>
        <c:spPr>
          <a:noFill/>
          <a:ln w="127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CR"/>
          </a:p>
        </c:txPr>
        <c:crossAx val="504823088"/>
        <c:crosses val="autoZero"/>
        <c:crossBetween val="midCat"/>
      </c:valAx>
      <c:spPr>
        <a:noFill/>
        <a:ln w="12700">
          <a:solidFill>
            <a:srgbClr val="000000"/>
          </a:solidFill>
          <a:prstDash val="solid"/>
        </a:ln>
      </c:spPr>
    </c:plotArea>
    <c:legend>
      <c:legendPos val="r"/>
      <c:layout>
        <c:manualLayout>
          <c:xMode val="edge"/>
          <c:yMode val="edge"/>
          <c:x val="9.6730123243885857E-2"/>
          <c:y val="5.0098276994070247E-2"/>
          <c:w val="0.701162397789731"/>
          <c:h val="0.26569977725109445"/>
        </c:manualLayout>
      </c:layout>
      <c:overlay val="0"/>
      <c:spPr>
        <a:noFill/>
        <a:ln w="25400">
          <a:noFill/>
        </a:ln>
      </c:spPr>
      <c:txPr>
        <a:bodyPr/>
        <a:lstStyle/>
        <a:p>
          <a:pPr>
            <a:defRPr sz="1000" b="0" i="0" u="none" strike="noStrike" baseline="0">
              <a:solidFill>
                <a:srgbClr val="000000"/>
              </a:solidFill>
              <a:latin typeface="Arial"/>
              <a:ea typeface="Arial"/>
              <a:cs typeface="Arial"/>
            </a:defRPr>
          </a:pPr>
          <a:endParaRPr lang="es-CR"/>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s-C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75924480083809"/>
          <c:y val="1.7610507019955961E-2"/>
          <c:w val="0.78533847751833097"/>
          <c:h val="0.83053601365625729"/>
        </c:manualLayout>
      </c:layout>
      <c:barChart>
        <c:barDir val="col"/>
        <c:grouping val="clustered"/>
        <c:varyColors val="0"/>
        <c:ser>
          <c:idx val="1"/>
          <c:order val="1"/>
          <c:tx>
            <c:strRef>
              <c:f>Tb!$D$1</c:f>
              <c:strCache>
                <c:ptCount val="1"/>
                <c:pt idx="0">
                  <c:v>citations per publication</c:v>
                </c:pt>
              </c:strCache>
            </c:strRef>
          </c:tx>
          <c:spPr>
            <a:solidFill>
              <a:schemeClr val="bg1">
                <a:lumMod val="95000"/>
              </a:schemeClr>
            </a:solidFill>
            <a:ln w="12700">
              <a:solidFill>
                <a:srgbClr val="000000"/>
              </a:solidFill>
            </a:ln>
          </c:spPr>
          <c:invertIfNegative val="0"/>
          <c:cat>
            <c:numRef>
              <c:f>Tb!$A$2:$A$99</c:f>
              <c:numCache>
                <c:formatCode>General</c:formatCode>
                <c:ptCount val="98"/>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pt idx="17">
                  <c:v>1937</c:v>
                </c:pt>
                <c:pt idx="18">
                  <c:v>1938</c:v>
                </c:pt>
                <c:pt idx="19">
                  <c:v>1939</c:v>
                </c:pt>
                <c:pt idx="20">
                  <c:v>1940</c:v>
                </c:pt>
                <c:pt idx="21">
                  <c:v>1941</c:v>
                </c:pt>
                <c:pt idx="22">
                  <c:v>1942</c:v>
                </c:pt>
                <c:pt idx="23">
                  <c:v>1943</c:v>
                </c:pt>
                <c:pt idx="24">
                  <c:v>1944</c:v>
                </c:pt>
                <c:pt idx="25">
                  <c:v>1945</c:v>
                </c:pt>
                <c:pt idx="26">
                  <c:v>1946</c:v>
                </c:pt>
                <c:pt idx="27">
                  <c:v>1947</c:v>
                </c:pt>
                <c:pt idx="28">
                  <c:v>1948</c:v>
                </c:pt>
                <c:pt idx="29">
                  <c:v>1949</c:v>
                </c:pt>
                <c:pt idx="30">
                  <c:v>1950</c:v>
                </c:pt>
                <c:pt idx="31">
                  <c:v>1951</c:v>
                </c:pt>
                <c:pt idx="32">
                  <c:v>1952</c:v>
                </c:pt>
                <c:pt idx="33">
                  <c:v>1953</c:v>
                </c:pt>
                <c:pt idx="34">
                  <c:v>1954</c:v>
                </c:pt>
                <c:pt idx="35">
                  <c:v>1955</c:v>
                </c:pt>
                <c:pt idx="36">
                  <c:v>1956</c:v>
                </c:pt>
                <c:pt idx="37">
                  <c:v>1957</c:v>
                </c:pt>
                <c:pt idx="38">
                  <c:v>1958</c:v>
                </c:pt>
                <c:pt idx="39">
                  <c:v>1959</c:v>
                </c:pt>
                <c:pt idx="40">
                  <c:v>1960</c:v>
                </c:pt>
                <c:pt idx="41">
                  <c:v>1961</c:v>
                </c:pt>
                <c:pt idx="42">
                  <c:v>1962</c:v>
                </c:pt>
                <c:pt idx="43">
                  <c:v>1963</c:v>
                </c:pt>
                <c:pt idx="44">
                  <c:v>1964</c:v>
                </c:pt>
                <c:pt idx="45">
                  <c:v>1965</c:v>
                </c:pt>
                <c:pt idx="46">
                  <c:v>1966</c:v>
                </c:pt>
                <c:pt idx="47">
                  <c:v>1967</c:v>
                </c:pt>
                <c:pt idx="48">
                  <c:v>1968</c:v>
                </c:pt>
                <c:pt idx="49">
                  <c:v>1969</c:v>
                </c:pt>
                <c:pt idx="50">
                  <c:v>1970</c:v>
                </c:pt>
                <c:pt idx="51">
                  <c:v>1971</c:v>
                </c:pt>
                <c:pt idx="52">
                  <c:v>1972</c:v>
                </c:pt>
                <c:pt idx="53">
                  <c:v>1973</c:v>
                </c:pt>
                <c:pt idx="54">
                  <c:v>1974</c:v>
                </c:pt>
                <c:pt idx="55">
                  <c:v>1975</c:v>
                </c:pt>
                <c:pt idx="56">
                  <c:v>1976</c:v>
                </c:pt>
                <c:pt idx="57">
                  <c:v>1977</c:v>
                </c:pt>
                <c:pt idx="58">
                  <c:v>1978</c:v>
                </c:pt>
                <c:pt idx="59">
                  <c:v>1979</c:v>
                </c:pt>
                <c:pt idx="60">
                  <c:v>1980</c:v>
                </c:pt>
                <c:pt idx="61">
                  <c:v>1981</c:v>
                </c:pt>
                <c:pt idx="62">
                  <c:v>1982</c:v>
                </c:pt>
                <c:pt idx="63">
                  <c:v>1983</c:v>
                </c:pt>
                <c:pt idx="64">
                  <c:v>1984</c:v>
                </c:pt>
                <c:pt idx="65">
                  <c:v>1985</c:v>
                </c:pt>
                <c:pt idx="66">
                  <c:v>1986</c:v>
                </c:pt>
                <c:pt idx="67">
                  <c:v>1987</c:v>
                </c:pt>
                <c:pt idx="68">
                  <c:v>1988</c:v>
                </c:pt>
                <c:pt idx="69">
                  <c:v>1989</c:v>
                </c:pt>
                <c:pt idx="70">
                  <c:v>1990</c:v>
                </c:pt>
                <c:pt idx="71">
                  <c:v>1991</c:v>
                </c:pt>
                <c:pt idx="72">
                  <c:v>1992</c:v>
                </c:pt>
                <c:pt idx="73">
                  <c:v>1993</c:v>
                </c:pt>
                <c:pt idx="74">
                  <c:v>1994</c:v>
                </c:pt>
                <c:pt idx="75">
                  <c:v>1995</c:v>
                </c:pt>
                <c:pt idx="76">
                  <c:v>1996</c:v>
                </c:pt>
                <c:pt idx="77">
                  <c:v>1997</c:v>
                </c:pt>
                <c:pt idx="78">
                  <c:v>1998</c:v>
                </c:pt>
                <c:pt idx="79">
                  <c:v>1999</c:v>
                </c:pt>
                <c:pt idx="80">
                  <c:v>2000</c:v>
                </c:pt>
                <c:pt idx="81">
                  <c:v>2001</c:v>
                </c:pt>
                <c:pt idx="82">
                  <c:v>2002</c:v>
                </c:pt>
                <c:pt idx="83">
                  <c:v>2003</c:v>
                </c:pt>
                <c:pt idx="84">
                  <c:v>2004</c:v>
                </c:pt>
                <c:pt idx="85">
                  <c:v>2005</c:v>
                </c:pt>
                <c:pt idx="86">
                  <c:v>2006</c:v>
                </c:pt>
                <c:pt idx="87">
                  <c:v>2007</c:v>
                </c:pt>
                <c:pt idx="88">
                  <c:v>2008</c:v>
                </c:pt>
                <c:pt idx="89">
                  <c:v>2009</c:v>
                </c:pt>
                <c:pt idx="90">
                  <c:v>2010</c:v>
                </c:pt>
                <c:pt idx="91">
                  <c:v>2011</c:v>
                </c:pt>
                <c:pt idx="92">
                  <c:v>2012</c:v>
                </c:pt>
                <c:pt idx="93">
                  <c:v>2013</c:v>
                </c:pt>
                <c:pt idx="94">
                  <c:v>2014</c:v>
                </c:pt>
                <c:pt idx="95">
                  <c:v>2015</c:v>
                </c:pt>
                <c:pt idx="96">
                  <c:v>2016</c:v>
                </c:pt>
                <c:pt idx="97">
                  <c:v>2017</c:v>
                </c:pt>
              </c:numCache>
            </c:numRef>
          </c:cat>
          <c:val>
            <c:numRef>
              <c:f>Tb!$D$2:$D$99</c:f>
              <c:numCache>
                <c:formatCode>0.0</c:formatCode>
                <c:ptCount val="98"/>
                <c:pt idx="0">
                  <c:v>1.5</c:v>
                </c:pt>
                <c:pt idx="1">
                  <c:v>0</c:v>
                </c:pt>
                <c:pt idx="2" formatCode="General">
                  <c:v>0</c:v>
                </c:pt>
                <c:pt idx="3" formatCode="General">
                  <c:v>0</c:v>
                </c:pt>
                <c:pt idx="4" formatCode="General">
                  <c:v>0</c:v>
                </c:pt>
                <c:pt idx="5" formatCode="General">
                  <c:v>0</c:v>
                </c:pt>
                <c:pt idx="6" formatCode="General">
                  <c:v>0</c:v>
                </c:pt>
                <c:pt idx="7" formatCode="General">
                  <c:v>0</c:v>
                </c:pt>
                <c:pt idx="8" formatCode="General">
                  <c:v>0</c:v>
                </c:pt>
                <c:pt idx="9" formatCode="General">
                  <c:v>0</c:v>
                </c:pt>
                <c:pt idx="10" formatCode="General">
                  <c:v>0</c:v>
                </c:pt>
                <c:pt idx="11" formatCode="0">
                  <c:v>0</c:v>
                </c:pt>
                <c:pt idx="12" formatCode="General">
                  <c:v>0</c:v>
                </c:pt>
                <c:pt idx="13" formatCode="General">
                  <c:v>0</c:v>
                </c:pt>
                <c:pt idx="14" formatCode="General">
                  <c:v>0</c:v>
                </c:pt>
                <c:pt idx="15">
                  <c:v>6.5</c:v>
                </c:pt>
                <c:pt idx="16" formatCode="General">
                  <c:v>0</c:v>
                </c:pt>
                <c:pt idx="17" formatCode="General">
                  <c:v>0</c:v>
                </c:pt>
                <c:pt idx="18" formatCode="General">
                  <c:v>0</c:v>
                </c:pt>
                <c:pt idx="19" formatCode="General">
                  <c:v>0</c:v>
                </c:pt>
                <c:pt idx="20" formatCode="General">
                  <c:v>0</c:v>
                </c:pt>
                <c:pt idx="21" formatCode="General">
                  <c:v>0</c:v>
                </c:pt>
                <c:pt idx="22" formatCode="General">
                  <c:v>0</c:v>
                </c:pt>
                <c:pt idx="23" formatCode="General">
                  <c:v>0</c:v>
                </c:pt>
                <c:pt idx="24" formatCode="General">
                  <c:v>0</c:v>
                </c:pt>
                <c:pt idx="25" formatCode="General">
                  <c:v>0</c:v>
                </c:pt>
                <c:pt idx="26" formatCode="General">
                  <c:v>0</c:v>
                </c:pt>
                <c:pt idx="27" formatCode="General">
                  <c:v>0</c:v>
                </c:pt>
                <c:pt idx="28" formatCode="General">
                  <c:v>0</c:v>
                </c:pt>
                <c:pt idx="29" formatCode="General">
                  <c:v>0</c:v>
                </c:pt>
                <c:pt idx="30" formatCode="General">
                  <c:v>0</c:v>
                </c:pt>
                <c:pt idx="31" formatCode="General">
                  <c:v>0</c:v>
                </c:pt>
                <c:pt idx="32" formatCode="General">
                  <c:v>0</c:v>
                </c:pt>
                <c:pt idx="33" formatCode="General">
                  <c:v>0</c:v>
                </c:pt>
                <c:pt idx="34" formatCode="General">
                  <c:v>0</c:v>
                </c:pt>
                <c:pt idx="35" formatCode="General">
                  <c:v>0</c:v>
                </c:pt>
                <c:pt idx="36" formatCode="General">
                  <c:v>0</c:v>
                </c:pt>
                <c:pt idx="37" formatCode="General">
                  <c:v>0</c:v>
                </c:pt>
                <c:pt idx="38" formatCode="General">
                  <c:v>0</c:v>
                </c:pt>
                <c:pt idx="39" formatCode="General">
                  <c:v>0</c:v>
                </c:pt>
                <c:pt idx="40" formatCode="General">
                  <c:v>0</c:v>
                </c:pt>
                <c:pt idx="41" formatCode="General">
                  <c:v>0</c:v>
                </c:pt>
                <c:pt idx="42" formatCode="General">
                  <c:v>0</c:v>
                </c:pt>
                <c:pt idx="43" formatCode="General">
                  <c:v>0</c:v>
                </c:pt>
                <c:pt idx="44" formatCode="General">
                  <c:v>0</c:v>
                </c:pt>
                <c:pt idx="45" formatCode="General">
                  <c:v>0</c:v>
                </c:pt>
                <c:pt idx="46" formatCode="General">
                  <c:v>0</c:v>
                </c:pt>
                <c:pt idx="47" formatCode="General">
                  <c:v>0</c:v>
                </c:pt>
                <c:pt idx="48" formatCode="General">
                  <c:v>0</c:v>
                </c:pt>
                <c:pt idx="49" formatCode="General">
                  <c:v>0</c:v>
                </c:pt>
                <c:pt idx="50" formatCode="General">
                  <c:v>0</c:v>
                </c:pt>
                <c:pt idx="51" formatCode="General">
                  <c:v>0</c:v>
                </c:pt>
                <c:pt idx="52">
                  <c:v>2</c:v>
                </c:pt>
                <c:pt idx="53" formatCode="0">
                  <c:v>12.142857142857142</c:v>
                </c:pt>
                <c:pt idx="54">
                  <c:v>2.9</c:v>
                </c:pt>
                <c:pt idx="55" formatCode="0">
                  <c:v>10.545454545454545</c:v>
                </c:pt>
                <c:pt idx="56">
                  <c:v>5.375</c:v>
                </c:pt>
                <c:pt idx="57">
                  <c:v>6.166666666666667</c:v>
                </c:pt>
                <c:pt idx="58" formatCode="0">
                  <c:v>36.25</c:v>
                </c:pt>
                <c:pt idx="59">
                  <c:v>7.5</c:v>
                </c:pt>
                <c:pt idx="60" formatCode="0">
                  <c:v>26.2</c:v>
                </c:pt>
                <c:pt idx="61" formatCode="0">
                  <c:v>25.454545454545453</c:v>
                </c:pt>
                <c:pt idx="62" formatCode="0">
                  <c:v>15</c:v>
                </c:pt>
                <c:pt idx="63" formatCode="0">
                  <c:v>15.16</c:v>
                </c:pt>
                <c:pt idx="64" formatCode="0">
                  <c:v>17.600000000000001</c:v>
                </c:pt>
                <c:pt idx="65" formatCode="0">
                  <c:v>19.263157894736842</c:v>
                </c:pt>
                <c:pt idx="66" formatCode="0">
                  <c:v>15.428571428571429</c:v>
                </c:pt>
                <c:pt idx="67" formatCode="0">
                  <c:v>14.076923076923077</c:v>
                </c:pt>
                <c:pt idx="68">
                  <c:v>8.1666666666666661</c:v>
                </c:pt>
                <c:pt idx="69" formatCode="0">
                  <c:v>27.421052631578949</c:v>
                </c:pt>
                <c:pt idx="70" formatCode="0">
                  <c:v>16.032258064516128</c:v>
                </c:pt>
                <c:pt idx="71" formatCode="0">
                  <c:v>21.543478260869566</c:v>
                </c:pt>
                <c:pt idx="72" formatCode="0">
                  <c:v>32.371428571428574</c:v>
                </c:pt>
                <c:pt idx="73" formatCode="0">
                  <c:v>30.413793103448278</c:v>
                </c:pt>
                <c:pt idx="74" formatCode="0">
                  <c:v>21.98076923076923</c:v>
                </c:pt>
                <c:pt idx="75" formatCode="0">
                  <c:v>26.357142857142858</c:v>
                </c:pt>
                <c:pt idx="76" formatCode="0">
                  <c:v>16.730158730158731</c:v>
                </c:pt>
                <c:pt idx="77" formatCode="0">
                  <c:v>28.563829787234042</c:v>
                </c:pt>
                <c:pt idx="78" formatCode="0">
                  <c:v>30.941860465116278</c:v>
                </c:pt>
                <c:pt idx="79" formatCode="0">
                  <c:v>25.313253012048193</c:v>
                </c:pt>
                <c:pt idx="80" formatCode="0">
                  <c:v>33.212389380530972</c:v>
                </c:pt>
                <c:pt idx="81" formatCode="0">
                  <c:v>32.673913043478258</c:v>
                </c:pt>
                <c:pt idx="82" formatCode="0">
                  <c:v>34.436619718309856</c:v>
                </c:pt>
                <c:pt idx="83" formatCode="0">
                  <c:v>23.58169934640523</c:v>
                </c:pt>
                <c:pt idx="84" formatCode="0">
                  <c:v>46.882758620689657</c:v>
                </c:pt>
                <c:pt idx="85" formatCode="0">
                  <c:v>31.336787564766841</c:v>
                </c:pt>
                <c:pt idx="86" formatCode="0">
                  <c:v>32.042328042328045</c:v>
                </c:pt>
                <c:pt idx="87" formatCode="0">
                  <c:v>21.679841897233203</c:v>
                </c:pt>
                <c:pt idx="88" formatCode="0">
                  <c:v>34.992673992673993</c:v>
                </c:pt>
                <c:pt idx="89" formatCode="0">
                  <c:v>22.273584905660378</c:v>
                </c:pt>
                <c:pt idx="90" formatCode="0">
                  <c:v>29.609154929577464</c:v>
                </c:pt>
                <c:pt idx="91" formatCode="0">
                  <c:v>19.152027027027028</c:v>
                </c:pt>
                <c:pt idx="92" formatCode="0">
                  <c:v>18.648648648648649</c:v>
                </c:pt>
                <c:pt idx="93" formatCode="0">
                  <c:v>16.988151658767773</c:v>
                </c:pt>
                <c:pt idx="94" formatCode="0">
                  <c:v>10.904411764705882</c:v>
                </c:pt>
                <c:pt idx="95">
                  <c:v>6.3620253164556964</c:v>
                </c:pt>
                <c:pt idx="96">
                  <c:v>3.6909594095940959</c:v>
                </c:pt>
                <c:pt idx="97" formatCode="0.00">
                  <c:v>0.82711348057882716</c:v>
                </c:pt>
              </c:numCache>
            </c:numRef>
          </c:val>
          <c:extLst>
            <c:ext xmlns:c16="http://schemas.microsoft.com/office/drawing/2014/chart" uri="{C3380CC4-5D6E-409C-BE32-E72D297353CC}">
              <c16:uniqueId val="{00000000-075C-493A-B0E7-9FB2E20C5252}"/>
            </c:ext>
          </c:extLst>
        </c:ser>
        <c:dLbls>
          <c:showLegendKey val="0"/>
          <c:showVal val="0"/>
          <c:showCatName val="0"/>
          <c:showSerName val="0"/>
          <c:showPercent val="0"/>
          <c:showBubbleSize val="0"/>
        </c:dLbls>
        <c:gapWidth val="150"/>
        <c:axId val="565386912"/>
        <c:axId val="565386352"/>
      </c:barChart>
      <c:lineChart>
        <c:grouping val="standard"/>
        <c:varyColors val="0"/>
        <c:ser>
          <c:idx val="0"/>
          <c:order val="0"/>
          <c:tx>
            <c:strRef>
              <c:f>Tb!$B$1</c:f>
              <c:strCache>
                <c:ptCount val="1"/>
                <c:pt idx="0">
                  <c:v>number of articles</c:v>
                </c:pt>
              </c:strCache>
            </c:strRef>
          </c:tx>
          <c:spPr>
            <a:ln w="12700">
              <a:solidFill>
                <a:schemeClr val="tx1"/>
              </a:solidFill>
            </a:ln>
          </c:spPr>
          <c:marker>
            <c:symbol val="circle"/>
            <c:size val="5"/>
            <c:spPr>
              <a:solidFill>
                <a:schemeClr val="tx1"/>
              </a:solidFill>
              <a:ln w="9525">
                <a:solidFill>
                  <a:srgbClr val="000000"/>
                </a:solidFill>
              </a:ln>
            </c:spPr>
          </c:marker>
          <c:cat>
            <c:numRef>
              <c:f>Tb!$A$2:$A$99</c:f>
              <c:numCache>
                <c:formatCode>General</c:formatCode>
                <c:ptCount val="98"/>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pt idx="17">
                  <c:v>1937</c:v>
                </c:pt>
                <c:pt idx="18">
                  <c:v>1938</c:v>
                </c:pt>
                <c:pt idx="19">
                  <c:v>1939</c:v>
                </c:pt>
                <c:pt idx="20">
                  <c:v>1940</c:v>
                </c:pt>
                <c:pt idx="21">
                  <c:v>1941</c:v>
                </c:pt>
                <c:pt idx="22">
                  <c:v>1942</c:v>
                </c:pt>
                <c:pt idx="23">
                  <c:v>1943</c:v>
                </c:pt>
                <c:pt idx="24">
                  <c:v>1944</c:v>
                </c:pt>
                <c:pt idx="25">
                  <c:v>1945</c:v>
                </c:pt>
                <c:pt idx="26">
                  <c:v>1946</c:v>
                </c:pt>
                <c:pt idx="27">
                  <c:v>1947</c:v>
                </c:pt>
                <c:pt idx="28">
                  <c:v>1948</c:v>
                </c:pt>
                <c:pt idx="29">
                  <c:v>1949</c:v>
                </c:pt>
                <c:pt idx="30">
                  <c:v>1950</c:v>
                </c:pt>
                <c:pt idx="31">
                  <c:v>1951</c:v>
                </c:pt>
                <c:pt idx="32">
                  <c:v>1952</c:v>
                </c:pt>
                <c:pt idx="33">
                  <c:v>1953</c:v>
                </c:pt>
                <c:pt idx="34">
                  <c:v>1954</c:v>
                </c:pt>
                <c:pt idx="35">
                  <c:v>1955</c:v>
                </c:pt>
                <c:pt idx="36">
                  <c:v>1956</c:v>
                </c:pt>
                <c:pt idx="37">
                  <c:v>1957</c:v>
                </c:pt>
                <c:pt idx="38">
                  <c:v>1958</c:v>
                </c:pt>
                <c:pt idx="39">
                  <c:v>1959</c:v>
                </c:pt>
                <c:pt idx="40">
                  <c:v>1960</c:v>
                </c:pt>
                <c:pt idx="41">
                  <c:v>1961</c:v>
                </c:pt>
                <c:pt idx="42">
                  <c:v>1962</c:v>
                </c:pt>
                <c:pt idx="43">
                  <c:v>1963</c:v>
                </c:pt>
                <c:pt idx="44">
                  <c:v>1964</c:v>
                </c:pt>
                <c:pt idx="45">
                  <c:v>1965</c:v>
                </c:pt>
                <c:pt idx="46">
                  <c:v>1966</c:v>
                </c:pt>
                <c:pt idx="47">
                  <c:v>1967</c:v>
                </c:pt>
                <c:pt idx="48">
                  <c:v>1968</c:v>
                </c:pt>
                <c:pt idx="49">
                  <c:v>1969</c:v>
                </c:pt>
                <c:pt idx="50">
                  <c:v>1970</c:v>
                </c:pt>
                <c:pt idx="51">
                  <c:v>1971</c:v>
                </c:pt>
                <c:pt idx="52">
                  <c:v>1972</c:v>
                </c:pt>
                <c:pt idx="53">
                  <c:v>1973</c:v>
                </c:pt>
                <c:pt idx="54">
                  <c:v>1974</c:v>
                </c:pt>
                <c:pt idx="55">
                  <c:v>1975</c:v>
                </c:pt>
                <c:pt idx="56">
                  <c:v>1976</c:v>
                </c:pt>
                <c:pt idx="57">
                  <c:v>1977</c:v>
                </c:pt>
                <c:pt idx="58">
                  <c:v>1978</c:v>
                </c:pt>
                <c:pt idx="59">
                  <c:v>1979</c:v>
                </c:pt>
                <c:pt idx="60">
                  <c:v>1980</c:v>
                </c:pt>
                <c:pt idx="61">
                  <c:v>1981</c:v>
                </c:pt>
                <c:pt idx="62">
                  <c:v>1982</c:v>
                </c:pt>
                <c:pt idx="63">
                  <c:v>1983</c:v>
                </c:pt>
                <c:pt idx="64">
                  <c:v>1984</c:v>
                </c:pt>
                <c:pt idx="65">
                  <c:v>1985</c:v>
                </c:pt>
                <c:pt idx="66">
                  <c:v>1986</c:v>
                </c:pt>
                <c:pt idx="67">
                  <c:v>1987</c:v>
                </c:pt>
                <c:pt idx="68">
                  <c:v>1988</c:v>
                </c:pt>
                <c:pt idx="69">
                  <c:v>1989</c:v>
                </c:pt>
                <c:pt idx="70">
                  <c:v>1990</c:v>
                </c:pt>
                <c:pt idx="71">
                  <c:v>1991</c:v>
                </c:pt>
                <c:pt idx="72">
                  <c:v>1992</c:v>
                </c:pt>
                <c:pt idx="73">
                  <c:v>1993</c:v>
                </c:pt>
                <c:pt idx="74">
                  <c:v>1994</c:v>
                </c:pt>
                <c:pt idx="75">
                  <c:v>1995</c:v>
                </c:pt>
                <c:pt idx="76">
                  <c:v>1996</c:v>
                </c:pt>
                <c:pt idx="77">
                  <c:v>1997</c:v>
                </c:pt>
                <c:pt idx="78">
                  <c:v>1998</c:v>
                </c:pt>
                <c:pt idx="79">
                  <c:v>1999</c:v>
                </c:pt>
                <c:pt idx="80">
                  <c:v>2000</c:v>
                </c:pt>
                <c:pt idx="81">
                  <c:v>2001</c:v>
                </c:pt>
                <c:pt idx="82">
                  <c:v>2002</c:v>
                </c:pt>
                <c:pt idx="83">
                  <c:v>2003</c:v>
                </c:pt>
                <c:pt idx="84">
                  <c:v>2004</c:v>
                </c:pt>
                <c:pt idx="85">
                  <c:v>2005</c:v>
                </c:pt>
                <c:pt idx="86">
                  <c:v>2006</c:v>
                </c:pt>
                <c:pt idx="87">
                  <c:v>2007</c:v>
                </c:pt>
                <c:pt idx="88">
                  <c:v>2008</c:v>
                </c:pt>
                <c:pt idx="89">
                  <c:v>2009</c:v>
                </c:pt>
                <c:pt idx="90">
                  <c:v>2010</c:v>
                </c:pt>
                <c:pt idx="91">
                  <c:v>2011</c:v>
                </c:pt>
                <c:pt idx="92">
                  <c:v>2012</c:v>
                </c:pt>
                <c:pt idx="93">
                  <c:v>2013</c:v>
                </c:pt>
                <c:pt idx="94">
                  <c:v>2014</c:v>
                </c:pt>
                <c:pt idx="95">
                  <c:v>2015</c:v>
                </c:pt>
                <c:pt idx="96">
                  <c:v>2016</c:v>
                </c:pt>
                <c:pt idx="97">
                  <c:v>2017</c:v>
                </c:pt>
              </c:numCache>
            </c:numRef>
          </c:cat>
          <c:val>
            <c:numRef>
              <c:f>Tb!$B$2:$B$99</c:f>
              <c:numCache>
                <c:formatCode>General</c:formatCode>
                <c:ptCount val="98"/>
                <c:pt idx="0">
                  <c:v>2</c:v>
                </c:pt>
                <c:pt idx="1">
                  <c:v>1</c:v>
                </c:pt>
                <c:pt idx="2">
                  <c:v>0</c:v>
                </c:pt>
                <c:pt idx="3">
                  <c:v>0</c:v>
                </c:pt>
                <c:pt idx="4">
                  <c:v>0</c:v>
                </c:pt>
                <c:pt idx="5">
                  <c:v>0</c:v>
                </c:pt>
                <c:pt idx="6">
                  <c:v>0</c:v>
                </c:pt>
                <c:pt idx="7">
                  <c:v>0</c:v>
                </c:pt>
                <c:pt idx="8">
                  <c:v>0</c:v>
                </c:pt>
                <c:pt idx="9">
                  <c:v>0</c:v>
                </c:pt>
                <c:pt idx="10">
                  <c:v>0</c:v>
                </c:pt>
                <c:pt idx="11">
                  <c:v>1</c:v>
                </c:pt>
                <c:pt idx="12">
                  <c:v>0</c:v>
                </c:pt>
                <c:pt idx="13">
                  <c:v>0</c:v>
                </c:pt>
                <c:pt idx="14">
                  <c:v>0</c:v>
                </c:pt>
                <c:pt idx="15">
                  <c:v>2</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1</c:v>
                </c:pt>
                <c:pt idx="53">
                  <c:v>7</c:v>
                </c:pt>
                <c:pt idx="54">
                  <c:v>10</c:v>
                </c:pt>
                <c:pt idx="55">
                  <c:v>11</c:v>
                </c:pt>
                <c:pt idx="56">
                  <c:v>8</c:v>
                </c:pt>
                <c:pt idx="57">
                  <c:v>6</c:v>
                </c:pt>
                <c:pt idx="58">
                  <c:v>12</c:v>
                </c:pt>
                <c:pt idx="59">
                  <c:v>12</c:v>
                </c:pt>
                <c:pt idx="60">
                  <c:v>10</c:v>
                </c:pt>
                <c:pt idx="61">
                  <c:v>11</c:v>
                </c:pt>
                <c:pt idx="62">
                  <c:v>13</c:v>
                </c:pt>
                <c:pt idx="63">
                  <c:v>25</c:v>
                </c:pt>
                <c:pt idx="64">
                  <c:v>15</c:v>
                </c:pt>
                <c:pt idx="65">
                  <c:v>19</c:v>
                </c:pt>
                <c:pt idx="66">
                  <c:v>14</c:v>
                </c:pt>
                <c:pt idx="67">
                  <c:v>26</c:v>
                </c:pt>
                <c:pt idx="68">
                  <c:v>18</c:v>
                </c:pt>
                <c:pt idx="69">
                  <c:v>19</c:v>
                </c:pt>
                <c:pt idx="70">
                  <c:v>31</c:v>
                </c:pt>
                <c:pt idx="71">
                  <c:v>46</c:v>
                </c:pt>
                <c:pt idx="72">
                  <c:v>35</c:v>
                </c:pt>
                <c:pt idx="73">
                  <c:v>29</c:v>
                </c:pt>
                <c:pt idx="74">
                  <c:v>52</c:v>
                </c:pt>
                <c:pt idx="75">
                  <c:v>70</c:v>
                </c:pt>
                <c:pt idx="76">
                  <c:v>63</c:v>
                </c:pt>
                <c:pt idx="77">
                  <c:v>94</c:v>
                </c:pt>
                <c:pt idx="78">
                  <c:v>86</c:v>
                </c:pt>
                <c:pt idx="79">
                  <c:v>83</c:v>
                </c:pt>
                <c:pt idx="80">
                  <c:v>113</c:v>
                </c:pt>
                <c:pt idx="81">
                  <c:v>92</c:v>
                </c:pt>
                <c:pt idx="82">
                  <c:v>142</c:v>
                </c:pt>
                <c:pt idx="83">
                  <c:v>153</c:v>
                </c:pt>
                <c:pt idx="84">
                  <c:v>145</c:v>
                </c:pt>
                <c:pt idx="85">
                  <c:v>193</c:v>
                </c:pt>
                <c:pt idx="86">
                  <c:v>189</c:v>
                </c:pt>
                <c:pt idx="87">
                  <c:v>253</c:v>
                </c:pt>
                <c:pt idx="88">
                  <c:v>273</c:v>
                </c:pt>
                <c:pt idx="89">
                  <c:v>318</c:v>
                </c:pt>
                <c:pt idx="90">
                  <c:v>284</c:v>
                </c:pt>
                <c:pt idx="91">
                  <c:v>296</c:v>
                </c:pt>
                <c:pt idx="92">
                  <c:v>370</c:v>
                </c:pt>
                <c:pt idx="93">
                  <c:v>422</c:v>
                </c:pt>
                <c:pt idx="94">
                  <c:v>544</c:v>
                </c:pt>
                <c:pt idx="95">
                  <c:v>790</c:v>
                </c:pt>
                <c:pt idx="96">
                  <c:v>1084</c:v>
                </c:pt>
                <c:pt idx="97">
                  <c:v>1313</c:v>
                </c:pt>
              </c:numCache>
            </c:numRef>
          </c:val>
          <c:smooth val="0"/>
          <c:extLst>
            <c:ext xmlns:c16="http://schemas.microsoft.com/office/drawing/2014/chart" uri="{C3380CC4-5D6E-409C-BE32-E72D297353CC}">
              <c16:uniqueId val="{00000001-075C-493A-B0E7-9FB2E20C5252}"/>
            </c:ext>
          </c:extLst>
        </c:ser>
        <c:dLbls>
          <c:showLegendKey val="0"/>
          <c:showVal val="0"/>
          <c:showCatName val="0"/>
          <c:showSerName val="0"/>
          <c:showPercent val="0"/>
          <c:showBubbleSize val="0"/>
        </c:dLbls>
        <c:marker val="1"/>
        <c:smooth val="0"/>
        <c:axId val="565385232"/>
        <c:axId val="565385792"/>
      </c:lineChart>
      <c:catAx>
        <c:axId val="565385232"/>
        <c:scaling>
          <c:orientation val="minMax"/>
        </c:scaling>
        <c:delete val="0"/>
        <c:axPos val="b"/>
        <c:title>
          <c:tx>
            <c:rich>
              <a:bodyPr/>
              <a:lstStyle/>
              <a:p>
                <a:pPr>
                  <a:defRPr b="1"/>
                </a:pPr>
                <a:r>
                  <a:rPr lang="en-US" altLang="zh-TW" b="1"/>
                  <a:t>Year</a:t>
                </a:r>
                <a:endParaRPr lang="zh-TW" altLang="en-US" b="1"/>
              </a:p>
            </c:rich>
          </c:tx>
          <c:overlay val="0"/>
        </c:title>
        <c:numFmt formatCode="General" sourceLinked="1"/>
        <c:majorTickMark val="none"/>
        <c:minorTickMark val="none"/>
        <c:tickLblPos val="nextTo"/>
        <c:spPr>
          <a:noFill/>
          <a:ln w="12700">
            <a:solidFill>
              <a:srgbClr val="000000"/>
            </a:solidFill>
            <a:prstDash val="solid"/>
          </a:ln>
        </c:spPr>
        <c:txPr>
          <a:bodyPr rot="5400000" vert="horz"/>
          <a:lstStyle/>
          <a:p>
            <a:pPr>
              <a:defRPr sz="1000" b="0" i="0" u="none" strike="noStrike" baseline="0">
                <a:solidFill>
                  <a:srgbClr val="000000"/>
                </a:solidFill>
                <a:latin typeface="Arial"/>
                <a:ea typeface="Arial"/>
                <a:cs typeface="Arial"/>
              </a:defRPr>
            </a:pPr>
            <a:endParaRPr lang="es-CR"/>
          </a:p>
        </c:txPr>
        <c:crossAx val="565385792"/>
        <c:crosses val="autoZero"/>
        <c:auto val="1"/>
        <c:lblAlgn val="ctr"/>
        <c:lblOffset val="100"/>
        <c:noMultiLvlLbl val="0"/>
      </c:catAx>
      <c:valAx>
        <c:axId val="565385792"/>
        <c:scaling>
          <c:orientation val="minMax"/>
        </c:scaling>
        <c:delete val="0"/>
        <c:axPos val="l"/>
        <c:title>
          <c:tx>
            <c:rich>
              <a:bodyPr anchor="ctr" anchorCtr="1"/>
              <a:lstStyle/>
              <a:p>
                <a:pPr>
                  <a:defRPr sz="1000" b="1" i="0" u="none" strike="noStrike" baseline="0">
                    <a:solidFill>
                      <a:srgbClr val="000000"/>
                    </a:solidFill>
                    <a:latin typeface="Arial"/>
                    <a:ea typeface="Arial"/>
                    <a:cs typeface="Arial"/>
                  </a:defRPr>
                </a:pPr>
                <a:r>
                  <a:rPr lang="en-US" altLang="en-US"/>
                  <a:t>Number</a:t>
                </a:r>
                <a:r>
                  <a:rPr lang="en-US" altLang="en-US" sz="1000" b="1" i="0" u="none" strike="noStrike" kern="1200" baseline="0">
                    <a:solidFill>
                      <a:srgbClr val="000000"/>
                    </a:solidFill>
                    <a:latin typeface="Arial"/>
                    <a:cs typeface="Arial"/>
                  </a:rPr>
                  <a:t> </a:t>
                </a:r>
                <a:r>
                  <a:rPr lang="en-US" altLang="en-US"/>
                  <a:t>of</a:t>
                </a:r>
                <a:r>
                  <a:rPr lang="en-US" altLang="en-US" sz="1000" b="1" i="0" u="none" strike="noStrike" kern="1200" baseline="0">
                    <a:solidFill>
                      <a:srgbClr val="000000"/>
                    </a:solidFill>
                    <a:latin typeface="Arial"/>
                    <a:cs typeface="Arial"/>
                  </a:rPr>
                  <a:t> </a:t>
                </a:r>
                <a:r>
                  <a:rPr lang="en-US" altLang="en-US"/>
                  <a:t>articles</a:t>
                </a:r>
              </a:p>
            </c:rich>
          </c:tx>
          <c:layout>
            <c:manualLayout>
              <c:xMode val="edge"/>
              <c:yMode val="edge"/>
              <c:x val="5.3044458820764007E-4"/>
              <c:y val="0.32135189377385731"/>
            </c:manualLayout>
          </c:layout>
          <c:overlay val="0"/>
          <c:spPr>
            <a:noFill/>
            <a:ln w="25400">
              <a:noFill/>
            </a:ln>
          </c:spPr>
        </c:title>
        <c:numFmt formatCode="General" sourceLinked="1"/>
        <c:majorTickMark val="in"/>
        <c:minorTickMark val="none"/>
        <c:tickLblPos val="nextTo"/>
        <c:spPr>
          <a:ln w="127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CR"/>
          </a:p>
        </c:txPr>
        <c:crossAx val="565385232"/>
        <c:crosses val="autoZero"/>
        <c:crossBetween val="between"/>
      </c:valAx>
      <c:valAx>
        <c:axId val="565386352"/>
        <c:scaling>
          <c:orientation val="minMax"/>
        </c:scaling>
        <c:delete val="0"/>
        <c:axPos val="r"/>
        <c:title>
          <c:tx>
            <c:rich>
              <a:bodyPr rot="5400000" vert="horz" anchor="ctr" anchorCtr="0"/>
              <a:lstStyle/>
              <a:p>
                <a:pPr>
                  <a:defRPr b="1"/>
                </a:pPr>
                <a:r>
                  <a:rPr lang="en-US" altLang="en-US" b="1"/>
                  <a:t>Citations</a:t>
                </a:r>
                <a:r>
                  <a:rPr lang="en-US" altLang="en-US" sz="1000" b="1" i="0" u="none" strike="noStrike" kern="1200" baseline="0">
                    <a:solidFill>
                      <a:srgbClr val="000000"/>
                    </a:solidFill>
                    <a:latin typeface="Arial"/>
                    <a:cs typeface="Arial"/>
                  </a:rPr>
                  <a:t> </a:t>
                </a:r>
                <a:r>
                  <a:rPr lang="en-US" altLang="en-US" b="1"/>
                  <a:t>per</a:t>
                </a:r>
                <a:r>
                  <a:rPr lang="en-US" altLang="en-US" sz="1000" b="1" i="0" u="none" strike="noStrike" kern="1200" baseline="0">
                    <a:solidFill>
                      <a:srgbClr val="000000"/>
                    </a:solidFill>
                    <a:latin typeface="Arial"/>
                    <a:cs typeface="Arial"/>
                  </a:rPr>
                  <a:t> </a:t>
                </a:r>
                <a:r>
                  <a:rPr lang="en-US" altLang="en-US" b="1"/>
                  <a:t>publication</a:t>
                </a:r>
              </a:p>
            </c:rich>
          </c:tx>
          <c:layout>
            <c:manualLayout>
              <c:xMode val="edge"/>
              <c:yMode val="edge"/>
              <c:x val="0.95977452417418474"/>
              <c:y val="0.2897325913023307"/>
            </c:manualLayout>
          </c:layout>
          <c:overlay val="0"/>
        </c:title>
        <c:numFmt formatCode="General" sourceLinked="0"/>
        <c:majorTickMark val="in"/>
        <c:minorTickMark val="none"/>
        <c:tickLblPos val="nextTo"/>
        <c:spPr>
          <a:noFill/>
          <a:ln w="12700">
            <a:solidFill>
              <a:srgbClr val="000000"/>
            </a:solidFill>
          </a:ln>
        </c:spPr>
        <c:crossAx val="565386912"/>
        <c:crosses val="max"/>
        <c:crossBetween val="between"/>
      </c:valAx>
      <c:catAx>
        <c:axId val="565386912"/>
        <c:scaling>
          <c:orientation val="minMax"/>
        </c:scaling>
        <c:delete val="1"/>
        <c:axPos val="b"/>
        <c:numFmt formatCode="General" sourceLinked="1"/>
        <c:majorTickMark val="out"/>
        <c:minorTickMark val="none"/>
        <c:tickLblPos val="none"/>
        <c:crossAx val="565386352"/>
        <c:crosses val="autoZero"/>
        <c:auto val="1"/>
        <c:lblAlgn val="ctr"/>
        <c:lblOffset val="100"/>
        <c:noMultiLvlLbl val="0"/>
      </c:catAx>
      <c:spPr>
        <a:noFill/>
        <a:ln w="12700">
          <a:solidFill>
            <a:srgbClr val="000000"/>
          </a:solidFill>
          <a:prstDash val="solid"/>
        </a:ln>
      </c:spPr>
    </c:plotArea>
    <c:legend>
      <c:legendPos val="r"/>
      <c:layout>
        <c:manualLayout>
          <c:xMode val="edge"/>
          <c:yMode val="edge"/>
          <c:x val="0.14411252760233328"/>
          <c:y val="0.10172877025527007"/>
          <c:w val="0.35149606317074533"/>
          <c:h val="9.98550037522523E-2"/>
        </c:manualLayout>
      </c:layout>
      <c:overlay val="0"/>
      <c:spPr>
        <a:noFill/>
        <a:ln w="25400">
          <a:noFill/>
        </a:ln>
      </c:spPr>
      <c:txPr>
        <a:bodyPr/>
        <a:lstStyle/>
        <a:p>
          <a:pPr>
            <a:defRPr sz="1000" b="0" i="0" u="none" strike="noStrike" baseline="0">
              <a:solidFill>
                <a:srgbClr val="000000"/>
              </a:solidFill>
              <a:latin typeface="Arial"/>
              <a:ea typeface="Arial"/>
              <a:cs typeface="Arial"/>
            </a:defRPr>
          </a:pPr>
          <a:endParaRPr lang="es-CR"/>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s-C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79893234021065"/>
          <c:y val="1.7610507019955961E-2"/>
          <c:w val="0.78029878997895841"/>
          <c:h val="0.83053601365625729"/>
        </c:manualLayout>
      </c:layout>
      <c:barChart>
        <c:barDir val="col"/>
        <c:grouping val="clustered"/>
        <c:varyColors val="0"/>
        <c:ser>
          <c:idx val="1"/>
          <c:order val="1"/>
          <c:tx>
            <c:strRef>
              <c:f>Tb!$D$1</c:f>
              <c:strCache>
                <c:ptCount val="1"/>
                <c:pt idx="0">
                  <c:v>citations per publication</c:v>
                </c:pt>
              </c:strCache>
            </c:strRef>
          </c:tx>
          <c:spPr>
            <a:solidFill>
              <a:schemeClr val="bg1">
                <a:lumMod val="95000"/>
              </a:schemeClr>
            </a:solidFill>
            <a:ln w="12700">
              <a:solidFill>
                <a:srgbClr val="000000"/>
              </a:solidFill>
            </a:ln>
          </c:spPr>
          <c:invertIfNegative val="0"/>
          <c:cat>
            <c:numRef>
              <c:f>Tb!$A$62:$A$99</c:f>
              <c:numCache>
                <c:formatCode>General</c:formatCode>
                <c:ptCount val="38"/>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numCache>
            </c:numRef>
          </c:cat>
          <c:val>
            <c:numRef>
              <c:f>Tb!$D$62:$D$99</c:f>
              <c:numCache>
                <c:formatCode>0</c:formatCode>
                <c:ptCount val="38"/>
                <c:pt idx="0">
                  <c:v>26.2</c:v>
                </c:pt>
                <c:pt idx="1">
                  <c:v>25.454545454545453</c:v>
                </c:pt>
                <c:pt idx="2">
                  <c:v>15</c:v>
                </c:pt>
                <c:pt idx="3">
                  <c:v>15.16</c:v>
                </c:pt>
                <c:pt idx="4">
                  <c:v>17.600000000000001</c:v>
                </c:pt>
                <c:pt idx="5">
                  <c:v>19.263157894736842</c:v>
                </c:pt>
                <c:pt idx="6">
                  <c:v>15.428571428571429</c:v>
                </c:pt>
                <c:pt idx="7">
                  <c:v>14.076923076923077</c:v>
                </c:pt>
                <c:pt idx="8" formatCode="0.0">
                  <c:v>8.1666666666666661</c:v>
                </c:pt>
                <c:pt idx="9">
                  <c:v>27.421052631578949</c:v>
                </c:pt>
                <c:pt idx="10">
                  <c:v>16.032258064516128</c:v>
                </c:pt>
                <c:pt idx="11">
                  <c:v>21.543478260869566</c:v>
                </c:pt>
                <c:pt idx="12">
                  <c:v>32.371428571428574</c:v>
                </c:pt>
                <c:pt idx="13">
                  <c:v>30.413793103448278</c:v>
                </c:pt>
                <c:pt idx="14">
                  <c:v>21.98076923076923</c:v>
                </c:pt>
                <c:pt idx="15">
                  <c:v>26.357142857142858</c:v>
                </c:pt>
                <c:pt idx="16">
                  <c:v>16.730158730158731</c:v>
                </c:pt>
                <c:pt idx="17">
                  <c:v>28.563829787234042</c:v>
                </c:pt>
                <c:pt idx="18">
                  <c:v>30.941860465116278</c:v>
                </c:pt>
                <c:pt idx="19">
                  <c:v>25.313253012048193</c:v>
                </c:pt>
                <c:pt idx="20">
                  <c:v>33.212389380530972</c:v>
                </c:pt>
                <c:pt idx="21">
                  <c:v>32.673913043478258</c:v>
                </c:pt>
                <c:pt idx="22">
                  <c:v>34.436619718309856</c:v>
                </c:pt>
                <c:pt idx="23">
                  <c:v>23.58169934640523</c:v>
                </c:pt>
                <c:pt idx="24">
                  <c:v>46.882758620689657</c:v>
                </c:pt>
                <c:pt idx="25">
                  <c:v>31.336787564766841</c:v>
                </c:pt>
                <c:pt idx="26">
                  <c:v>32.042328042328045</c:v>
                </c:pt>
                <c:pt idx="27">
                  <c:v>21.679841897233203</c:v>
                </c:pt>
                <c:pt idx="28">
                  <c:v>34.992673992673993</c:v>
                </c:pt>
                <c:pt idx="29">
                  <c:v>22.273584905660378</c:v>
                </c:pt>
                <c:pt idx="30">
                  <c:v>29.609154929577464</c:v>
                </c:pt>
                <c:pt idx="31">
                  <c:v>19.152027027027028</c:v>
                </c:pt>
                <c:pt idx="32">
                  <c:v>18.648648648648649</c:v>
                </c:pt>
                <c:pt idx="33">
                  <c:v>16.988151658767773</c:v>
                </c:pt>
                <c:pt idx="34">
                  <c:v>10.904411764705882</c:v>
                </c:pt>
                <c:pt idx="35" formatCode="0.0">
                  <c:v>6.3620253164556964</c:v>
                </c:pt>
                <c:pt idx="36" formatCode="0.0">
                  <c:v>3.6909594095940959</c:v>
                </c:pt>
                <c:pt idx="37" formatCode="0.00">
                  <c:v>0.82711348057882716</c:v>
                </c:pt>
              </c:numCache>
            </c:numRef>
          </c:val>
          <c:extLst>
            <c:ext xmlns:c16="http://schemas.microsoft.com/office/drawing/2014/chart" uri="{C3380CC4-5D6E-409C-BE32-E72D297353CC}">
              <c16:uniqueId val="{00000000-5DA4-4D7B-9D1D-5D94BF5FCCA1}"/>
            </c:ext>
          </c:extLst>
        </c:ser>
        <c:dLbls>
          <c:showLegendKey val="0"/>
          <c:showVal val="0"/>
          <c:showCatName val="0"/>
          <c:showSerName val="0"/>
          <c:showPercent val="0"/>
          <c:showBubbleSize val="0"/>
        </c:dLbls>
        <c:gapWidth val="150"/>
        <c:axId val="571056672"/>
        <c:axId val="571056112"/>
      </c:barChart>
      <c:lineChart>
        <c:grouping val="standard"/>
        <c:varyColors val="0"/>
        <c:ser>
          <c:idx val="0"/>
          <c:order val="0"/>
          <c:tx>
            <c:strRef>
              <c:f>Tb!$B$1</c:f>
              <c:strCache>
                <c:ptCount val="1"/>
                <c:pt idx="0">
                  <c:v>number of articles</c:v>
                </c:pt>
              </c:strCache>
            </c:strRef>
          </c:tx>
          <c:spPr>
            <a:ln w="12700">
              <a:solidFill>
                <a:schemeClr val="tx1"/>
              </a:solidFill>
            </a:ln>
          </c:spPr>
          <c:marker>
            <c:symbol val="circle"/>
            <c:size val="5"/>
            <c:spPr>
              <a:solidFill>
                <a:schemeClr val="tx1"/>
              </a:solidFill>
              <a:ln w="9525">
                <a:solidFill>
                  <a:srgbClr val="000000"/>
                </a:solidFill>
              </a:ln>
            </c:spPr>
          </c:marker>
          <c:cat>
            <c:numRef>
              <c:f>Tb!$A$62:$A$99</c:f>
              <c:numCache>
                <c:formatCode>General</c:formatCode>
                <c:ptCount val="38"/>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numCache>
            </c:numRef>
          </c:cat>
          <c:val>
            <c:numRef>
              <c:f>Tb!$B$62:$B$99</c:f>
              <c:numCache>
                <c:formatCode>General</c:formatCode>
                <c:ptCount val="38"/>
                <c:pt idx="0">
                  <c:v>10</c:v>
                </c:pt>
                <c:pt idx="1">
                  <c:v>11</c:v>
                </c:pt>
                <c:pt idx="2">
                  <c:v>13</c:v>
                </c:pt>
                <c:pt idx="3">
                  <c:v>25</c:v>
                </c:pt>
                <c:pt idx="4">
                  <c:v>15</c:v>
                </c:pt>
                <c:pt idx="5">
                  <c:v>19</c:v>
                </c:pt>
                <c:pt idx="6">
                  <c:v>14</c:v>
                </c:pt>
                <c:pt idx="7">
                  <c:v>26</c:v>
                </c:pt>
                <c:pt idx="8">
                  <c:v>18</c:v>
                </c:pt>
                <c:pt idx="9">
                  <c:v>19</c:v>
                </c:pt>
                <c:pt idx="10">
                  <c:v>31</c:v>
                </c:pt>
                <c:pt idx="11">
                  <c:v>46</c:v>
                </c:pt>
                <c:pt idx="12">
                  <c:v>35</c:v>
                </c:pt>
                <c:pt idx="13">
                  <c:v>29</c:v>
                </c:pt>
                <c:pt idx="14">
                  <c:v>52</c:v>
                </c:pt>
                <c:pt idx="15">
                  <c:v>70</c:v>
                </c:pt>
                <c:pt idx="16">
                  <c:v>63</c:v>
                </c:pt>
                <c:pt idx="17">
                  <c:v>94</c:v>
                </c:pt>
                <c:pt idx="18">
                  <c:v>86</c:v>
                </c:pt>
                <c:pt idx="19">
                  <c:v>83</c:v>
                </c:pt>
                <c:pt idx="20">
                  <c:v>113</c:v>
                </c:pt>
                <c:pt idx="21">
                  <c:v>92</c:v>
                </c:pt>
                <c:pt idx="22">
                  <c:v>142</c:v>
                </c:pt>
                <c:pt idx="23">
                  <c:v>153</c:v>
                </c:pt>
                <c:pt idx="24">
                  <c:v>145</c:v>
                </c:pt>
                <c:pt idx="25">
                  <c:v>193</c:v>
                </c:pt>
                <c:pt idx="26">
                  <c:v>189</c:v>
                </c:pt>
                <c:pt idx="27">
                  <c:v>253</c:v>
                </c:pt>
                <c:pt idx="28">
                  <c:v>273</c:v>
                </c:pt>
                <c:pt idx="29">
                  <c:v>318</c:v>
                </c:pt>
                <c:pt idx="30">
                  <c:v>284</c:v>
                </c:pt>
                <c:pt idx="31">
                  <c:v>296</c:v>
                </c:pt>
                <c:pt idx="32">
                  <c:v>370</c:v>
                </c:pt>
                <c:pt idx="33">
                  <c:v>422</c:v>
                </c:pt>
                <c:pt idx="34">
                  <c:v>544</c:v>
                </c:pt>
                <c:pt idx="35">
                  <c:v>790</c:v>
                </c:pt>
                <c:pt idx="36">
                  <c:v>1084</c:v>
                </c:pt>
                <c:pt idx="37">
                  <c:v>1313</c:v>
                </c:pt>
              </c:numCache>
            </c:numRef>
          </c:val>
          <c:smooth val="0"/>
          <c:extLst>
            <c:ext xmlns:c16="http://schemas.microsoft.com/office/drawing/2014/chart" uri="{C3380CC4-5D6E-409C-BE32-E72D297353CC}">
              <c16:uniqueId val="{00000001-5DA4-4D7B-9D1D-5D94BF5FCCA1}"/>
            </c:ext>
          </c:extLst>
        </c:ser>
        <c:dLbls>
          <c:showLegendKey val="0"/>
          <c:showVal val="0"/>
          <c:showCatName val="0"/>
          <c:showSerName val="0"/>
          <c:showPercent val="0"/>
          <c:showBubbleSize val="0"/>
        </c:dLbls>
        <c:marker val="1"/>
        <c:smooth val="0"/>
        <c:axId val="571054992"/>
        <c:axId val="571055552"/>
      </c:lineChart>
      <c:catAx>
        <c:axId val="571054992"/>
        <c:scaling>
          <c:orientation val="minMax"/>
        </c:scaling>
        <c:delete val="0"/>
        <c:axPos val="b"/>
        <c:title>
          <c:tx>
            <c:rich>
              <a:bodyPr/>
              <a:lstStyle/>
              <a:p>
                <a:pPr>
                  <a:defRPr b="1"/>
                </a:pPr>
                <a:r>
                  <a:rPr lang="en-US" altLang="zh-TW" b="1"/>
                  <a:t>Year</a:t>
                </a:r>
                <a:endParaRPr lang="zh-TW" altLang="en-US" b="1"/>
              </a:p>
            </c:rich>
          </c:tx>
          <c:overlay val="0"/>
        </c:title>
        <c:numFmt formatCode="General" sourceLinked="1"/>
        <c:majorTickMark val="none"/>
        <c:minorTickMark val="none"/>
        <c:tickLblPos val="nextTo"/>
        <c:spPr>
          <a:noFill/>
          <a:ln w="12700">
            <a:solidFill>
              <a:srgbClr val="000000"/>
            </a:solidFill>
            <a:prstDash val="solid"/>
          </a:ln>
        </c:spPr>
        <c:txPr>
          <a:bodyPr rot="5400000" vert="horz"/>
          <a:lstStyle/>
          <a:p>
            <a:pPr>
              <a:defRPr sz="1000" b="0" i="0" u="none" strike="noStrike" baseline="0">
                <a:solidFill>
                  <a:srgbClr val="000000"/>
                </a:solidFill>
                <a:latin typeface="Arial"/>
                <a:ea typeface="Arial"/>
                <a:cs typeface="Arial"/>
              </a:defRPr>
            </a:pPr>
            <a:endParaRPr lang="es-CR"/>
          </a:p>
        </c:txPr>
        <c:crossAx val="571055552"/>
        <c:crosses val="autoZero"/>
        <c:auto val="1"/>
        <c:lblAlgn val="ctr"/>
        <c:lblOffset val="100"/>
        <c:noMultiLvlLbl val="0"/>
      </c:catAx>
      <c:valAx>
        <c:axId val="571055552"/>
        <c:scaling>
          <c:orientation val="minMax"/>
        </c:scaling>
        <c:delete val="0"/>
        <c:axPos val="l"/>
        <c:title>
          <c:tx>
            <c:rich>
              <a:bodyPr anchor="ctr" anchorCtr="1"/>
              <a:lstStyle/>
              <a:p>
                <a:pPr>
                  <a:defRPr sz="1000" b="1" i="0" u="none" strike="noStrike" baseline="0">
                    <a:solidFill>
                      <a:srgbClr val="000000"/>
                    </a:solidFill>
                    <a:latin typeface="Arial"/>
                    <a:ea typeface="Arial"/>
                    <a:cs typeface="Arial"/>
                  </a:defRPr>
                </a:pPr>
                <a:r>
                  <a:rPr lang="en-US" altLang="en-US"/>
                  <a:t>Number of articles</a:t>
                </a:r>
              </a:p>
            </c:rich>
          </c:tx>
          <c:layout>
            <c:manualLayout>
              <c:xMode val="edge"/>
              <c:yMode val="edge"/>
              <c:x val="5.3044458820764007E-4"/>
              <c:y val="0.32135189377385731"/>
            </c:manualLayout>
          </c:layout>
          <c:overlay val="0"/>
          <c:spPr>
            <a:noFill/>
            <a:ln w="25400">
              <a:noFill/>
            </a:ln>
          </c:spPr>
        </c:title>
        <c:numFmt formatCode="General" sourceLinked="1"/>
        <c:majorTickMark val="in"/>
        <c:minorTickMark val="none"/>
        <c:tickLblPos val="nextTo"/>
        <c:spPr>
          <a:ln w="127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CR"/>
          </a:p>
        </c:txPr>
        <c:crossAx val="571054992"/>
        <c:crosses val="autoZero"/>
        <c:crossBetween val="between"/>
      </c:valAx>
      <c:valAx>
        <c:axId val="571056112"/>
        <c:scaling>
          <c:orientation val="minMax"/>
        </c:scaling>
        <c:delete val="0"/>
        <c:axPos val="r"/>
        <c:title>
          <c:tx>
            <c:rich>
              <a:bodyPr rot="5400000" vert="horz" anchor="ctr" anchorCtr="0"/>
              <a:lstStyle/>
              <a:p>
                <a:pPr>
                  <a:defRPr b="1"/>
                </a:pPr>
                <a:r>
                  <a:rPr lang="en-US" altLang="en-US" b="1"/>
                  <a:t>Citations per publication</a:t>
                </a:r>
              </a:p>
            </c:rich>
          </c:tx>
          <c:layout>
            <c:manualLayout>
              <c:xMode val="edge"/>
              <c:yMode val="edge"/>
              <c:x val="0.95977452417418474"/>
              <c:y val="0.2897325913023307"/>
            </c:manualLayout>
          </c:layout>
          <c:overlay val="0"/>
        </c:title>
        <c:numFmt formatCode="General" sourceLinked="0"/>
        <c:majorTickMark val="in"/>
        <c:minorTickMark val="none"/>
        <c:tickLblPos val="nextTo"/>
        <c:spPr>
          <a:noFill/>
          <a:ln w="12700">
            <a:solidFill>
              <a:srgbClr val="000000"/>
            </a:solidFill>
          </a:ln>
        </c:spPr>
        <c:crossAx val="571056672"/>
        <c:crosses val="max"/>
        <c:crossBetween val="between"/>
      </c:valAx>
      <c:catAx>
        <c:axId val="571056672"/>
        <c:scaling>
          <c:orientation val="minMax"/>
        </c:scaling>
        <c:delete val="1"/>
        <c:axPos val="b"/>
        <c:numFmt formatCode="General" sourceLinked="1"/>
        <c:majorTickMark val="out"/>
        <c:minorTickMark val="none"/>
        <c:tickLblPos val="none"/>
        <c:crossAx val="571056112"/>
        <c:crosses val="autoZero"/>
        <c:auto val="1"/>
        <c:lblAlgn val="ctr"/>
        <c:lblOffset val="100"/>
        <c:noMultiLvlLbl val="0"/>
      </c:catAx>
      <c:spPr>
        <a:noFill/>
        <a:ln w="12700">
          <a:solidFill>
            <a:srgbClr val="000000"/>
          </a:solidFill>
          <a:prstDash val="solid"/>
        </a:ln>
      </c:spPr>
    </c:plotArea>
    <c:legend>
      <c:legendPos val="r"/>
      <c:layout>
        <c:manualLayout>
          <c:xMode val="edge"/>
          <c:yMode val="edge"/>
          <c:x val="0.14411252760233328"/>
          <c:y val="0.10172877025527007"/>
          <c:w val="0.35149606317074533"/>
          <c:h val="9.98550037522523E-2"/>
        </c:manualLayout>
      </c:layout>
      <c:overlay val="0"/>
      <c:spPr>
        <a:noFill/>
        <a:ln w="25400">
          <a:noFill/>
        </a:ln>
      </c:spPr>
      <c:txPr>
        <a:bodyPr/>
        <a:lstStyle/>
        <a:p>
          <a:pPr>
            <a:defRPr sz="1000" b="0" i="0" u="none" strike="noStrike" baseline="0">
              <a:solidFill>
                <a:srgbClr val="000000"/>
              </a:solidFill>
              <a:latin typeface="Arial"/>
              <a:ea typeface="Arial"/>
              <a:cs typeface="Arial"/>
            </a:defRPr>
          </a:pPr>
          <a:endParaRPr lang="es-CR"/>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s-C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27908857052437"/>
          <c:y val="1.7610507019955961E-2"/>
          <c:w val="0.78281863374864458"/>
          <c:h val="0.81642417735355843"/>
        </c:manualLayout>
      </c:layout>
      <c:barChart>
        <c:barDir val="col"/>
        <c:grouping val="clustered"/>
        <c:varyColors val="0"/>
        <c:ser>
          <c:idx val="1"/>
          <c:order val="1"/>
          <c:tx>
            <c:strRef>
              <c:f>Tb!$D$1</c:f>
              <c:strCache>
                <c:ptCount val="1"/>
                <c:pt idx="0">
                  <c:v>citations per publication</c:v>
                </c:pt>
              </c:strCache>
            </c:strRef>
          </c:tx>
          <c:spPr>
            <a:solidFill>
              <a:schemeClr val="bg1">
                <a:lumMod val="95000"/>
              </a:schemeClr>
            </a:solidFill>
            <a:ln w="12700">
              <a:solidFill>
                <a:srgbClr val="000000"/>
              </a:solidFill>
            </a:ln>
          </c:spPr>
          <c:invertIfNegative val="0"/>
          <c:cat>
            <c:numRef>
              <c:f>Tb!$A$2:$A$90</c:f>
              <c:numCache>
                <c:formatCode>General</c:formatCode>
                <c:ptCount val="89"/>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pt idx="17">
                  <c:v>1937</c:v>
                </c:pt>
                <c:pt idx="18">
                  <c:v>1938</c:v>
                </c:pt>
                <c:pt idx="19">
                  <c:v>1939</c:v>
                </c:pt>
                <c:pt idx="20">
                  <c:v>1940</c:v>
                </c:pt>
                <c:pt idx="21">
                  <c:v>1941</c:v>
                </c:pt>
                <c:pt idx="22">
                  <c:v>1942</c:v>
                </c:pt>
                <c:pt idx="23">
                  <c:v>1943</c:v>
                </c:pt>
                <c:pt idx="24">
                  <c:v>1944</c:v>
                </c:pt>
                <c:pt idx="25">
                  <c:v>1945</c:v>
                </c:pt>
                <c:pt idx="26">
                  <c:v>1946</c:v>
                </c:pt>
                <c:pt idx="27">
                  <c:v>1947</c:v>
                </c:pt>
                <c:pt idx="28">
                  <c:v>1948</c:v>
                </c:pt>
                <c:pt idx="29">
                  <c:v>1949</c:v>
                </c:pt>
                <c:pt idx="30">
                  <c:v>1950</c:v>
                </c:pt>
                <c:pt idx="31">
                  <c:v>1951</c:v>
                </c:pt>
                <c:pt idx="32">
                  <c:v>1952</c:v>
                </c:pt>
                <c:pt idx="33">
                  <c:v>1953</c:v>
                </c:pt>
                <c:pt idx="34">
                  <c:v>1954</c:v>
                </c:pt>
                <c:pt idx="35">
                  <c:v>1955</c:v>
                </c:pt>
                <c:pt idx="36">
                  <c:v>1956</c:v>
                </c:pt>
                <c:pt idx="37">
                  <c:v>1957</c:v>
                </c:pt>
                <c:pt idx="38">
                  <c:v>1958</c:v>
                </c:pt>
                <c:pt idx="39">
                  <c:v>1959</c:v>
                </c:pt>
                <c:pt idx="40">
                  <c:v>1960</c:v>
                </c:pt>
                <c:pt idx="41">
                  <c:v>1961</c:v>
                </c:pt>
                <c:pt idx="42">
                  <c:v>1962</c:v>
                </c:pt>
                <c:pt idx="43">
                  <c:v>1963</c:v>
                </c:pt>
                <c:pt idx="44">
                  <c:v>1964</c:v>
                </c:pt>
                <c:pt idx="45">
                  <c:v>1965</c:v>
                </c:pt>
                <c:pt idx="46">
                  <c:v>1966</c:v>
                </c:pt>
                <c:pt idx="47">
                  <c:v>1967</c:v>
                </c:pt>
                <c:pt idx="48">
                  <c:v>1968</c:v>
                </c:pt>
                <c:pt idx="49">
                  <c:v>1969</c:v>
                </c:pt>
                <c:pt idx="50">
                  <c:v>1970</c:v>
                </c:pt>
                <c:pt idx="51">
                  <c:v>1971</c:v>
                </c:pt>
                <c:pt idx="52">
                  <c:v>1972</c:v>
                </c:pt>
                <c:pt idx="53">
                  <c:v>1973</c:v>
                </c:pt>
                <c:pt idx="54">
                  <c:v>1974</c:v>
                </c:pt>
                <c:pt idx="55">
                  <c:v>1975</c:v>
                </c:pt>
                <c:pt idx="56">
                  <c:v>1976</c:v>
                </c:pt>
                <c:pt idx="57">
                  <c:v>1977</c:v>
                </c:pt>
                <c:pt idx="58">
                  <c:v>1978</c:v>
                </c:pt>
                <c:pt idx="59">
                  <c:v>1979</c:v>
                </c:pt>
                <c:pt idx="60">
                  <c:v>1980</c:v>
                </c:pt>
                <c:pt idx="61">
                  <c:v>1981</c:v>
                </c:pt>
                <c:pt idx="62">
                  <c:v>1982</c:v>
                </c:pt>
                <c:pt idx="63">
                  <c:v>1983</c:v>
                </c:pt>
                <c:pt idx="64">
                  <c:v>1984</c:v>
                </c:pt>
                <c:pt idx="65">
                  <c:v>1985</c:v>
                </c:pt>
                <c:pt idx="66">
                  <c:v>1986</c:v>
                </c:pt>
                <c:pt idx="67">
                  <c:v>1987</c:v>
                </c:pt>
                <c:pt idx="68">
                  <c:v>1988</c:v>
                </c:pt>
                <c:pt idx="69">
                  <c:v>1989</c:v>
                </c:pt>
                <c:pt idx="70">
                  <c:v>1990</c:v>
                </c:pt>
                <c:pt idx="71">
                  <c:v>1991</c:v>
                </c:pt>
                <c:pt idx="72">
                  <c:v>1992</c:v>
                </c:pt>
                <c:pt idx="73">
                  <c:v>1993</c:v>
                </c:pt>
                <c:pt idx="74">
                  <c:v>1994</c:v>
                </c:pt>
                <c:pt idx="75">
                  <c:v>1995</c:v>
                </c:pt>
                <c:pt idx="76">
                  <c:v>1996</c:v>
                </c:pt>
                <c:pt idx="77">
                  <c:v>1997</c:v>
                </c:pt>
                <c:pt idx="78">
                  <c:v>1998</c:v>
                </c:pt>
                <c:pt idx="79">
                  <c:v>1999</c:v>
                </c:pt>
                <c:pt idx="80">
                  <c:v>2000</c:v>
                </c:pt>
                <c:pt idx="81">
                  <c:v>2001</c:v>
                </c:pt>
                <c:pt idx="82">
                  <c:v>2002</c:v>
                </c:pt>
                <c:pt idx="83">
                  <c:v>2003</c:v>
                </c:pt>
                <c:pt idx="84">
                  <c:v>2004</c:v>
                </c:pt>
                <c:pt idx="85">
                  <c:v>2005</c:v>
                </c:pt>
                <c:pt idx="86">
                  <c:v>2006</c:v>
                </c:pt>
                <c:pt idx="87">
                  <c:v>2007</c:v>
                </c:pt>
                <c:pt idx="88">
                  <c:v>2008</c:v>
                </c:pt>
              </c:numCache>
            </c:numRef>
          </c:cat>
          <c:val>
            <c:numRef>
              <c:f>Tb!$D$2:$D$90</c:f>
              <c:numCache>
                <c:formatCode>0.0</c:formatCode>
                <c:ptCount val="89"/>
                <c:pt idx="0">
                  <c:v>1.5</c:v>
                </c:pt>
                <c:pt idx="1">
                  <c:v>0</c:v>
                </c:pt>
                <c:pt idx="2" formatCode="General">
                  <c:v>0</c:v>
                </c:pt>
                <c:pt idx="3" formatCode="General">
                  <c:v>0</c:v>
                </c:pt>
                <c:pt idx="4" formatCode="General">
                  <c:v>0</c:v>
                </c:pt>
                <c:pt idx="5" formatCode="General">
                  <c:v>0</c:v>
                </c:pt>
                <c:pt idx="6" formatCode="General">
                  <c:v>0</c:v>
                </c:pt>
                <c:pt idx="7" formatCode="General">
                  <c:v>0</c:v>
                </c:pt>
                <c:pt idx="8" formatCode="General">
                  <c:v>0</c:v>
                </c:pt>
                <c:pt idx="9" formatCode="General">
                  <c:v>0</c:v>
                </c:pt>
                <c:pt idx="10" formatCode="General">
                  <c:v>0</c:v>
                </c:pt>
                <c:pt idx="11" formatCode="0">
                  <c:v>0</c:v>
                </c:pt>
                <c:pt idx="12" formatCode="General">
                  <c:v>0</c:v>
                </c:pt>
                <c:pt idx="13" formatCode="General">
                  <c:v>0</c:v>
                </c:pt>
                <c:pt idx="14" formatCode="General">
                  <c:v>0</c:v>
                </c:pt>
                <c:pt idx="15">
                  <c:v>6.5</c:v>
                </c:pt>
                <c:pt idx="16" formatCode="General">
                  <c:v>0</c:v>
                </c:pt>
                <c:pt idx="17" formatCode="General">
                  <c:v>0</c:v>
                </c:pt>
                <c:pt idx="18" formatCode="General">
                  <c:v>0</c:v>
                </c:pt>
                <c:pt idx="19" formatCode="General">
                  <c:v>0</c:v>
                </c:pt>
                <c:pt idx="20" formatCode="General">
                  <c:v>0</c:v>
                </c:pt>
                <c:pt idx="21" formatCode="General">
                  <c:v>0</c:v>
                </c:pt>
                <c:pt idx="22" formatCode="General">
                  <c:v>0</c:v>
                </c:pt>
                <c:pt idx="23" formatCode="General">
                  <c:v>0</c:v>
                </c:pt>
                <c:pt idx="24" formatCode="General">
                  <c:v>0</c:v>
                </c:pt>
                <c:pt idx="25" formatCode="General">
                  <c:v>0</c:v>
                </c:pt>
                <c:pt idx="26" formatCode="General">
                  <c:v>0</c:v>
                </c:pt>
                <c:pt idx="27" formatCode="General">
                  <c:v>0</c:v>
                </c:pt>
                <c:pt idx="28" formatCode="General">
                  <c:v>0</c:v>
                </c:pt>
                <c:pt idx="29" formatCode="General">
                  <c:v>0</c:v>
                </c:pt>
                <c:pt idx="30" formatCode="General">
                  <c:v>0</c:v>
                </c:pt>
                <c:pt idx="31" formatCode="General">
                  <c:v>0</c:v>
                </c:pt>
                <c:pt idx="32" formatCode="General">
                  <c:v>0</c:v>
                </c:pt>
                <c:pt idx="33" formatCode="General">
                  <c:v>0</c:v>
                </c:pt>
                <c:pt idx="34" formatCode="General">
                  <c:v>0</c:v>
                </c:pt>
                <c:pt idx="35" formatCode="General">
                  <c:v>0</c:v>
                </c:pt>
                <c:pt idx="36" formatCode="General">
                  <c:v>0</c:v>
                </c:pt>
                <c:pt idx="37" formatCode="General">
                  <c:v>0</c:v>
                </c:pt>
                <c:pt idx="38" formatCode="General">
                  <c:v>0</c:v>
                </c:pt>
                <c:pt idx="39" formatCode="General">
                  <c:v>0</c:v>
                </c:pt>
                <c:pt idx="40" formatCode="General">
                  <c:v>0</c:v>
                </c:pt>
                <c:pt idx="41" formatCode="General">
                  <c:v>0</c:v>
                </c:pt>
                <c:pt idx="42" formatCode="General">
                  <c:v>0</c:v>
                </c:pt>
                <c:pt idx="43" formatCode="General">
                  <c:v>0</c:v>
                </c:pt>
                <c:pt idx="44" formatCode="General">
                  <c:v>0</c:v>
                </c:pt>
                <c:pt idx="45" formatCode="General">
                  <c:v>0</c:v>
                </c:pt>
                <c:pt idx="46" formatCode="General">
                  <c:v>0</c:v>
                </c:pt>
                <c:pt idx="47" formatCode="General">
                  <c:v>0</c:v>
                </c:pt>
                <c:pt idx="48" formatCode="General">
                  <c:v>0</c:v>
                </c:pt>
                <c:pt idx="49" formatCode="General">
                  <c:v>0</c:v>
                </c:pt>
                <c:pt idx="50" formatCode="General">
                  <c:v>0</c:v>
                </c:pt>
                <c:pt idx="51" formatCode="General">
                  <c:v>0</c:v>
                </c:pt>
                <c:pt idx="52">
                  <c:v>2</c:v>
                </c:pt>
                <c:pt idx="53" formatCode="0">
                  <c:v>12.142857142857142</c:v>
                </c:pt>
                <c:pt idx="54">
                  <c:v>2.9</c:v>
                </c:pt>
                <c:pt idx="55" formatCode="0">
                  <c:v>10.545454545454545</c:v>
                </c:pt>
                <c:pt idx="56">
                  <c:v>5.375</c:v>
                </c:pt>
                <c:pt idx="57">
                  <c:v>6.166666666666667</c:v>
                </c:pt>
                <c:pt idx="58" formatCode="0">
                  <c:v>36.25</c:v>
                </c:pt>
                <c:pt idx="59">
                  <c:v>7.5</c:v>
                </c:pt>
                <c:pt idx="60" formatCode="0">
                  <c:v>26.2</c:v>
                </c:pt>
                <c:pt idx="61" formatCode="0">
                  <c:v>25.454545454545453</c:v>
                </c:pt>
                <c:pt idx="62" formatCode="0">
                  <c:v>15</c:v>
                </c:pt>
                <c:pt idx="63" formatCode="0">
                  <c:v>15.16</c:v>
                </c:pt>
                <c:pt idx="64" formatCode="0">
                  <c:v>17.600000000000001</c:v>
                </c:pt>
                <c:pt idx="65" formatCode="0">
                  <c:v>19.263157894736842</c:v>
                </c:pt>
                <c:pt idx="66" formatCode="0">
                  <c:v>15.428571428571429</c:v>
                </c:pt>
                <c:pt idx="67" formatCode="0">
                  <c:v>14.076923076923077</c:v>
                </c:pt>
                <c:pt idx="68">
                  <c:v>8.1666666666666661</c:v>
                </c:pt>
                <c:pt idx="69" formatCode="0">
                  <c:v>27.421052631578949</c:v>
                </c:pt>
                <c:pt idx="70" formatCode="0">
                  <c:v>16.032258064516128</c:v>
                </c:pt>
                <c:pt idx="71" formatCode="0">
                  <c:v>21.543478260869566</c:v>
                </c:pt>
                <c:pt idx="72" formatCode="0">
                  <c:v>32.371428571428574</c:v>
                </c:pt>
                <c:pt idx="73" formatCode="0">
                  <c:v>30.413793103448278</c:v>
                </c:pt>
                <c:pt idx="74" formatCode="0">
                  <c:v>21.98076923076923</c:v>
                </c:pt>
                <c:pt idx="75" formatCode="0">
                  <c:v>26.357142857142858</c:v>
                </c:pt>
                <c:pt idx="76" formatCode="0">
                  <c:v>16.730158730158731</c:v>
                </c:pt>
                <c:pt idx="77" formatCode="0">
                  <c:v>28.563829787234042</c:v>
                </c:pt>
                <c:pt idx="78" formatCode="0">
                  <c:v>30.941860465116278</c:v>
                </c:pt>
                <c:pt idx="79" formatCode="0">
                  <c:v>25.313253012048193</c:v>
                </c:pt>
                <c:pt idx="80" formatCode="0">
                  <c:v>33.212389380530972</c:v>
                </c:pt>
                <c:pt idx="81" formatCode="0">
                  <c:v>32.673913043478258</c:v>
                </c:pt>
                <c:pt idx="82" formatCode="0">
                  <c:v>34.436619718309856</c:v>
                </c:pt>
                <c:pt idx="83" formatCode="0">
                  <c:v>23.58169934640523</c:v>
                </c:pt>
                <c:pt idx="84" formatCode="0">
                  <c:v>46.882758620689657</c:v>
                </c:pt>
                <c:pt idx="85" formatCode="0">
                  <c:v>31.336787564766841</c:v>
                </c:pt>
                <c:pt idx="86" formatCode="0">
                  <c:v>32.042328042328045</c:v>
                </c:pt>
                <c:pt idx="87" formatCode="0">
                  <c:v>21.679841897233203</c:v>
                </c:pt>
                <c:pt idx="88" formatCode="0">
                  <c:v>34.992673992673993</c:v>
                </c:pt>
              </c:numCache>
            </c:numRef>
          </c:val>
          <c:extLst>
            <c:ext xmlns:c16="http://schemas.microsoft.com/office/drawing/2014/chart" uri="{C3380CC4-5D6E-409C-BE32-E72D297353CC}">
              <c16:uniqueId val="{00000000-BB4B-4764-AED0-40CD920320D6}"/>
            </c:ext>
          </c:extLst>
        </c:ser>
        <c:dLbls>
          <c:showLegendKey val="0"/>
          <c:showVal val="0"/>
          <c:showCatName val="0"/>
          <c:showSerName val="0"/>
          <c:showPercent val="0"/>
          <c:showBubbleSize val="0"/>
        </c:dLbls>
        <c:gapWidth val="150"/>
        <c:axId val="497878416"/>
        <c:axId val="497877856"/>
      </c:barChart>
      <c:lineChart>
        <c:grouping val="standard"/>
        <c:varyColors val="0"/>
        <c:ser>
          <c:idx val="0"/>
          <c:order val="0"/>
          <c:tx>
            <c:strRef>
              <c:f>Tb!$B$1</c:f>
              <c:strCache>
                <c:ptCount val="1"/>
                <c:pt idx="0">
                  <c:v>number of articles</c:v>
                </c:pt>
              </c:strCache>
            </c:strRef>
          </c:tx>
          <c:spPr>
            <a:ln w="12700">
              <a:solidFill>
                <a:schemeClr val="tx1"/>
              </a:solidFill>
            </a:ln>
          </c:spPr>
          <c:marker>
            <c:symbol val="circle"/>
            <c:size val="5"/>
            <c:spPr>
              <a:solidFill>
                <a:schemeClr val="tx1"/>
              </a:solidFill>
              <a:ln w="9525">
                <a:solidFill>
                  <a:srgbClr val="000000"/>
                </a:solidFill>
              </a:ln>
            </c:spPr>
          </c:marker>
          <c:cat>
            <c:numRef>
              <c:f>Tb!$A$2:$A$90</c:f>
              <c:numCache>
                <c:formatCode>General</c:formatCode>
                <c:ptCount val="89"/>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pt idx="17">
                  <c:v>1937</c:v>
                </c:pt>
                <c:pt idx="18">
                  <c:v>1938</c:v>
                </c:pt>
                <c:pt idx="19">
                  <c:v>1939</c:v>
                </c:pt>
                <c:pt idx="20">
                  <c:v>1940</c:v>
                </c:pt>
                <c:pt idx="21">
                  <c:v>1941</c:v>
                </c:pt>
                <c:pt idx="22">
                  <c:v>1942</c:v>
                </c:pt>
                <c:pt idx="23">
                  <c:v>1943</c:v>
                </c:pt>
                <c:pt idx="24">
                  <c:v>1944</c:v>
                </c:pt>
                <c:pt idx="25">
                  <c:v>1945</c:v>
                </c:pt>
                <c:pt idx="26">
                  <c:v>1946</c:v>
                </c:pt>
                <c:pt idx="27">
                  <c:v>1947</c:v>
                </c:pt>
                <c:pt idx="28">
                  <c:v>1948</c:v>
                </c:pt>
                <c:pt idx="29">
                  <c:v>1949</c:v>
                </c:pt>
                <c:pt idx="30">
                  <c:v>1950</c:v>
                </c:pt>
                <c:pt idx="31">
                  <c:v>1951</c:v>
                </c:pt>
                <c:pt idx="32">
                  <c:v>1952</c:v>
                </c:pt>
                <c:pt idx="33">
                  <c:v>1953</c:v>
                </c:pt>
                <c:pt idx="34">
                  <c:v>1954</c:v>
                </c:pt>
                <c:pt idx="35">
                  <c:v>1955</c:v>
                </c:pt>
                <c:pt idx="36">
                  <c:v>1956</c:v>
                </c:pt>
                <c:pt idx="37">
                  <c:v>1957</c:v>
                </c:pt>
                <c:pt idx="38">
                  <c:v>1958</c:v>
                </c:pt>
                <c:pt idx="39">
                  <c:v>1959</c:v>
                </c:pt>
                <c:pt idx="40">
                  <c:v>1960</c:v>
                </c:pt>
                <c:pt idx="41">
                  <c:v>1961</c:v>
                </c:pt>
                <c:pt idx="42">
                  <c:v>1962</c:v>
                </c:pt>
                <c:pt idx="43">
                  <c:v>1963</c:v>
                </c:pt>
                <c:pt idx="44">
                  <c:v>1964</c:v>
                </c:pt>
                <c:pt idx="45">
                  <c:v>1965</c:v>
                </c:pt>
                <c:pt idx="46">
                  <c:v>1966</c:v>
                </c:pt>
                <c:pt idx="47">
                  <c:v>1967</c:v>
                </c:pt>
                <c:pt idx="48">
                  <c:v>1968</c:v>
                </c:pt>
                <c:pt idx="49">
                  <c:v>1969</c:v>
                </c:pt>
                <c:pt idx="50">
                  <c:v>1970</c:v>
                </c:pt>
                <c:pt idx="51">
                  <c:v>1971</c:v>
                </c:pt>
                <c:pt idx="52">
                  <c:v>1972</c:v>
                </c:pt>
                <c:pt idx="53">
                  <c:v>1973</c:v>
                </c:pt>
                <c:pt idx="54">
                  <c:v>1974</c:v>
                </c:pt>
                <c:pt idx="55">
                  <c:v>1975</c:v>
                </c:pt>
                <c:pt idx="56">
                  <c:v>1976</c:v>
                </c:pt>
                <c:pt idx="57">
                  <c:v>1977</c:v>
                </c:pt>
                <c:pt idx="58">
                  <c:v>1978</c:v>
                </c:pt>
                <c:pt idx="59">
                  <c:v>1979</c:v>
                </c:pt>
                <c:pt idx="60">
                  <c:v>1980</c:v>
                </c:pt>
                <c:pt idx="61">
                  <c:v>1981</c:v>
                </c:pt>
                <c:pt idx="62">
                  <c:v>1982</c:v>
                </c:pt>
                <c:pt idx="63">
                  <c:v>1983</c:v>
                </c:pt>
                <c:pt idx="64">
                  <c:v>1984</c:v>
                </c:pt>
                <c:pt idx="65">
                  <c:v>1985</c:v>
                </c:pt>
                <c:pt idx="66">
                  <c:v>1986</c:v>
                </c:pt>
                <c:pt idx="67">
                  <c:v>1987</c:v>
                </c:pt>
                <c:pt idx="68">
                  <c:v>1988</c:v>
                </c:pt>
                <c:pt idx="69">
                  <c:v>1989</c:v>
                </c:pt>
                <c:pt idx="70">
                  <c:v>1990</c:v>
                </c:pt>
                <c:pt idx="71">
                  <c:v>1991</c:v>
                </c:pt>
                <c:pt idx="72">
                  <c:v>1992</c:v>
                </c:pt>
                <c:pt idx="73">
                  <c:v>1993</c:v>
                </c:pt>
                <c:pt idx="74">
                  <c:v>1994</c:v>
                </c:pt>
                <c:pt idx="75">
                  <c:v>1995</c:v>
                </c:pt>
                <c:pt idx="76">
                  <c:v>1996</c:v>
                </c:pt>
                <c:pt idx="77">
                  <c:v>1997</c:v>
                </c:pt>
                <c:pt idx="78">
                  <c:v>1998</c:v>
                </c:pt>
                <c:pt idx="79">
                  <c:v>1999</c:v>
                </c:pt>
                <c:pt idx="80">
                  <c:v>2000</c:v>
                </c:pt>
                <c:pt idx="81">
                  <c:v>2001</c:v>
                </c:pt>
                <c:pt idx="82">
                  <c:v>2002</c:v>
                </c:pt>
                <c:pt idx="83">
                  <c:v>2003</c:v>
                </c:pt>
                <c:pt idx="84">
                  <c:v>2004</c:v>
                </c:pt>
                <c:pt idx="85">
                  <c:v>2005</c:v>
                </c:pt>
                <c:pt idx="86">
                  <c:v>2006</c:v>
                </c:pt>
                <c:pt idx="87">
                  <c:v>2007</c:v>
                </c:pt>
                <c:pt idx="88">
                  <c:v>2008</c:v>
                </c:pt>
              </c:numCache>
            </c:numRef>
          </c:cat>
          <c:val>
            <c:numRef>
              <c:f>Tb!$B$2:$B$90</c:f>
              <c:numCache>
                <c:formatCode>General</c:formatCode>
                <c:ptCount val="89"/>
                <c:pt idx="0">
                  <c:v>2</c:v>
                </c:pt>
                <c:pt idx="1">
                  <c:v>1</c:v>
                </c:pt>
                <c:pt idx="2">
                  <c:v>0</c:v>
                </c:pt>
                <c:pt idx="3">
                  <c:v>0</c:v>
                </c:pt>
                <c:pt idx="4">
                  <c:v>0</c:v>
                </c:pt>
                <c:pt idx="5">
                  <c:v>0</c:v>
                </c:pt>
                <c:pt idx="6">
                  <c:v>0</c:v>
                </c:pt>
                <c:pt idx="7">
                  <c:v>0</c:v>
                </c:pt>
                <c:pt idx="8">
                  <c:v>0</c:v>
                </c:pt>
                <c:pt idx="9">
                  <c:v>0</c:v>
                </c:pt>
                <c:pt idx="10">
                  <c:v>0</c:v>
                </c:pt>
                <c:pt idx="11">
                  <c:v>1</c:v>
                </c:pt>
                <c:pt idx="12">
                  <c:v>0</c:v>
                </c:pt>
                <c:pt idx="13">
                  <c:v>0</c:v>
                </c:pt>
                <c:pt idx="14">
                  <c:v>0</c:v>
                </c:pt>
                <c:pt idx="15">
                  <c:v>2</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1</c:v>
                </c:pt>
                <c:pt idx="53">
                  <c:v>7</c:v>
                </c:pt>
                <c:pt idx="54">
                  <c:v>10</c:v>
                </c:pt>
                <c:pt idx="55">
                  <c:v>11</c:v>
                </c:pt>
                <c:pt idx="56">
                  <c:v>8</c:v>
                </c:pt>
                <c:pt idx="57">
                  <c:v>6</c:v>
                </c:pt>
                <c:pt idx="58">
                  <c:v>12</c:v>
                </c:pt>
                <c:pt idx="59">
                  <c:v>12</c:v>
                </c:pt>
                <c:pt idx="60">
                  <c:v>10</c:v>
                </c:pt>
                <c:pt idx="61">
                  <c:v>11</c:v>
                </c:pt>
                <c:pt idx="62">
                  <c:v>13</c:v>
                </c:pt>
                <c:pt idx="63">
                  <c:v>25</c:v>
                </c:pt>
                <c:pt idx="64">
                  <c:v>15</c:v>
                </c:pt>
                <c:pt idx="65">
                  <c:v>19</c:v>
                </c:pt>
                <c:pt idx="66">
                  <c:v>14</c:v>
                </c:pt>
                <c:pt idx="67">
                  <c:v>26</c:v>
                </c:pt>
                <c:pt idx="68">
                  <c:v>18</c:v>
                </c:pt>
                <c:pt idx="69">
                  <c:v>19</c:v>
                </c:pt>
                <c:pt idx="70">
                  <c:v>31</c:v>
                </c:pt>
                <c:pt idx="71">
                  <c:v>46</c:v>
                </c:pt>
                <c:pt idx="72">
                  <c:v>35</c:v>
                </c:pt>
                <c:pt idx="73">
                  <c:v>29</c:v>
                </c:pt>
                <c:pt idx="74">
                  <c:v>52</c:v>
                </c:pt>
                <c:pt idx="75">
                  <c:v>70</c:v>
                </c:pt>
                <c:pt idx="76">
                  <c:v>63</c:v>
                </c:pt>
                <c:pt idx="77">
                  <c:v>94</c:v>
                </c:pt>
                <c:pt idx="78">
                  <c:v>86</c:v>
                </c:pt>
                <c:pt idx="79">
                  <c:v>83</c:v>
                </c:pt>
                <c:pt idx="80">
                  <c:v>113</c:v>
                </c:pt>
                <c:pt idx="81">
                  <c:v>92</c:v>
                </c:pt>
                <c:pt idx="82">
                  <c:v>142</c:v>
                </c:pt>
                <c:pt idx="83">
                  <c:v>153</c:v>
                </c:pt>
                <c:pt idx="84">
                  <c:v>145</c:v>
                </c:pt>
                <c:pt idx="85">
                  <c:v>193</c:v>
                </c:pt>
                <c:pt idx="86">
                  <c:v>189</c:v>
                </c:pt>
                <c:pt idx="87">
                  <c:v>253</c:v>
                </c:pt>
                <c:pt idx="88">
                  <c:v>273</c:v>
                </c:pt>
              </c:numCache>
            </c:numRef>
          </c:val>
          <c:smooth val="0"/>
          <c:extLst>
            <c:ext xmlns:c16="http://schemas.microsoft.com/office/drawing/2014/chart" uri="{C3380CC4-5D6E-409C-BE32-E72D297353CC}">
              <c16:uniqueId val="{00000001-BB4B-4764-AED0-40CD920320D6}"/>
            </c:ext>
          </c:extLst>
        </c:ser>
        <c:dLbls>
          <c:showLegendKey val="0"/>
          <c:showVal val="0"/>
          <c:showCatName val="0"/>
          <c:showSerName val="0"/>
          <c:showPercent val="0"/>
          <c:showBubbleSize val="0"/>
        </c:dLbls>
        <c:marker val="1"/>
        <c:smooth val="0"/>
        <c:axId val="497876736"/>
        <c:axId val="497877296"/>
      </c:lineChart>
      <c:catAx>
        <c:axId val="497876736"/>
        <c:scaling>
          <c:orientation val="minMax"/>
        </c:scaling>
        <c:delete val="0"/>
        <c:axPos val="b"/>
        <c:title>
          <c:tx>
            <c:rich>
              <a:bodyPr/>
              <a:lstStyle/>
              <a:p>
                <a:pPr>
                  <a:defRPr b="1"/>
                </a:pPr>
                <a:r>
                  <a:rPr lang="en-US" altLang="zh-TW" b="1"/>
                  <a:t>Year</a:t>
                </a:r>
                <a:endParaRPr lang="zh-TW" altLang="en-US" b="1"/>
              </a:p>
            </c:rich>
          </c:tx>
          <c:overlay val="0"/>
        </c:title>
        <c:numFmt formatCode="General" sourceLinked="1"/>
        <c:majorTickMark val="none"/>
        <c:minorTickMark val="none"/>
        <c:tickLblPos val="nextTo"/>
        <c:spPr>
          <a:noFill/>
          <a:ln w="12700">
            <a:solidFill>
              <a:srgbClr val="000000"/>
            </a:solidFill>
            <a:prstDash val="solid"/>
          </a:ln>
        </c:spPr>
        <c:txPr>
          <a:bodyPr rot="5400000" vert="horz"/>
          <a:lstStyle/>
          <a:p>
            <a:pPr>
              <a:defRPr sz="1000" b="0" i="0" u="none" strike="noStrike" baseline="0">
                <a:solidFill>
                  <a:srgbClr val="000000"/>
                </a:solidFill>
                <a:latin typeface="Arial"/>
                <a:ea typeface="Arial"/>
                <a:cs typeface="Arial"/>
              </a:defRPr>
            </a:pPr>
            <a:endParaRPr lang="es-CR"/>
          </a:p>
        </c:txPr>
        <c:crossAx val="497877296"/>
        <c:crosses val="autoZero"/>
        <c:auto val="1"/>
        <c:lblAlgn val="ctr"/>
        <c:lblOffset val="100"/>
        <c:noMultiLvlLbl val="0"/>
      </c:catAx>
      <c:valAx>
        <c:axId val="497877296"/>
        <c:scaling>
          <c:orientation val="minMax"/>
        </c:scaling>
        <c:delete val="0"/>
        <c:axPos val="l"/>
        <c:title>
          <c:tx>
            <c:rich>
              <a:bodyPr anchor="ctr" anchorCtr="1"/>
              <a:lstStyle/>
              <a:p>
                <a:pPr>
                  <a:defRPr sz="1000" b="1" i="0" u="none" strike="noStrike" baseline="0">
                    <a:solidFill>
                      <a:srgbClr val="000000"/>
                    </a:solidFill>
                    <a:latin typeface="Arial"/>
                    <a:ea typeface="Arial"/>
                    <a:cs typeface="Arial"/>
                  </a:defRPr>
                </a:pPr>
                <a:r>
                  <a:rPr lang="en-US" altLang="en-US"/>
                  <a:t>Number of articles</a:t>
                </a:r>
              </a:p>
            </c:rich>
          </c:tx>
          <c:layout>
            <c:manualLayout>
              <c:xMode val="edge"/>
              <c:yMode val="edge"/>
              <c:x val="5.3044458820764007E-4"/>
              <c:y val="0.32135189377385731"/>
            </c:manualLayout>
          </c:layout>
          <c:overlay val="0"/>
          <c:spPr>
            <a:noFill/>
            <a:ln w="25400">
              <a:noFill/>
            </a:ln>
          </c:spPr>
        </c:title>
        <c:numFmt formatCode="General" sourceLinked="1"/>
        <c:majorTickMark val="in"/>
        <c:minorTickMark val="none"/>
        <c:tickLblPos val="nextTo"/>
        <c:spPr>
          <a:ln w="127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CR"/>
          </a:p>
        </c:txPr>
        <c:crossAx val="497876736"/>
        <c:crosses val="autoZero"/>
        <c:crossBetween val="between"/>
      </c:valAx>
      <c:valAx>
        <c:axId val="497877856"/>
        <c:scaling>
          <c:orientation val="minMax"/>
        </c:scaling>
        <c:delete val="0"/>
        <c:axPos val="r"/>
        <c:title>
          <c:tx>
            <c:rich>
              <a:bodyPr rot="5400000" vert="horz" anchor="ctr" anchorCtr="0"/>
              <a:lstStyle/>
              <a:p>
                <a:pPr>
                  <a:defRPr b="1"/>
                </a:pPr>
                <a:r>
                  <a:rPr lang="en-US" altLang="en-US" b="1"/>
                  <a:t>Citations per publication</a:t>
                </a:r>
              </a:p>
            </c:rich>
          </c:tx>
          <c:layout>
            <c:manualLayout>
              <c:xMode val="edge"/>
              <c:yMode val="edge"/>
              <c:x val="0.95977452417418474"/>
              <c:y val="0.2897325913023307"/>
            </c:manualLayout>
          </c:layout>
          <c:overlay val="0"/>
        </c:title>
        <c:numFmt formatCode="General" sourceLinked="0"/>
        <c:majorTickMark val="in"/>
        <c:minorTickMark val="none"/>
        <c:tickLblPos val="nextTo"/>
        <c:spPr>
          <a:noFill/>
          <a:ln w="12700">
            <a:solidFill>
              <a:srgbClr val="000000"/>
            </a:solidFill>
          </a:ln>
        </c:spPr>
        <c:crossAx val="497878416"/>
        <c:crosses val="max"/>
        <c:crossBetween val="between"/>
      </c:valAx>
      <c:catAx>
        <c:axId val="497878416"/>
        <c:scaling>
          <c:orientation val="minMax"/>
        </c:scaling>
        <c:delete val="1"/>
        <c:axPos val="b"/>
        <c:numFmt formatCode="General" sourceLinked="1"/>
        <c:majorTickMark val="out"/>
        <c:minorTickMark val="none"/>
        <c:tickLblPos val="none"/>
        <c:crossAx val="497877856"/>
        <c:crosses val="autoZero"/>
        <c:auto val="1"/>
        <c:lblAlgn val="ctr"/>
        <c:lblOffset val="100"/>
        <c:noMultiLvlLbl val="0"/>
      </c:catAx>
      <c:spPr>
        <a:noFill/>
        <a:ln w="12700">
          <a:solidFill>
            <a:srgbClr val="000000"/>
          </a:solidFill>
          <a:prstDash val="solid"/>
        </a:ln>
      </c:spPr>
    </c:plotArea>
    <c:legend>
      <c:legendPos val="r"/>
      <c:layout>
        <c:manualLayout>
          <c:xMode val="edge"/>
          <c:yMode val="edge"/>
          <c:x val="0.14411252760233328"/>
          <c:y val="0.10172877025527007"/>
          <c:w val="0.35149606317074533"/>
          <c:h val="9.98550037522523E-2"/>
        </c:manualLayout>
      </c:layout>
      <c:overlay val="0"/>
      <c:spPr>
        <a:noFill/>
        <a:ln w="25400">
          <a:noFill/>
        </a:ln>
      </c:spPr>
      <c:txPr>
        <a:bodyPr/>
        <a:lstStyle/>
        <a:p>
          <a:pPr>
            <a:defRPr sz="1000" b="0" i="0" u="none" strike="noStrike" baseline="0">
              <a:solidFill>
                <a:srgbClr val="000000"/>
              </a:solidFill>
              <a:latin typeface="Arial"/>
              <a:ea typeface="Arial"/>
              <a:cs typeface="Arial"/>
            </a:defRPr>
          </a:pPr>
          <a:endParaRPr lang="es-CR"/>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s-C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9313950703872"/>
          <c:y val="1.7610507019955961E-2"/>
          <c:w val="0.79319913716158719"/>
          <c:h val="0.89427321625702383"/>
        </c:manualLayout>
      </c:layout>
      <c:barChart>
        <c:barDir val="col"/>
        <c:grouping val="clustered"/>
        <c:varyColors val="0"/>
        <c:ser>
          <c:idx val="6"/>
          <c:order val="1"/>
          <c:tx>
            <c:strRef>
              <c:f>Tg!$C$1</c:f>
              <c:strCache>
                <c:ptCount val="1"/>
                <c:pt idx="0">
                  <c:v>citations per publication</c:v>
                </c:pt>
              </c:strCache>
            </c:strRef>
          </c:tx>
          <c:spPr>
            <a:solidFill>
              <a:schemeClr val="bg1">
                <a:lumMod val="95000"/>
              </a:schemeClr>
            </a:solidFill>
            <a:ln w="12700">
              <a:solidFill>
                <a:srgbClr val="000000"/>
              </a:solidFill>
            </a:ln>
          </c:spPr>
          <c:invertIfNegative val="0"/>
          <c:dLbls>
            <c:spPr>
              <a:noFill/>
              <a:ln>
                <a:noFill/>
              </a:ln>
              <a:effectLst/>
            </c:spPr>
            <c:txPr>
              <a:bodyPr rot="5400000" vert="horz"/>
              <a:lstStyle/>
              <a:p>
                <a:pPr>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Tg!$A$2:$A$12</c:f>
              <c:strCache>
                <c:ptCount val="11"/>
                <c:pt idx="0">
                  <c:v>TP</c:v>
                </c:pt>
                <c:pt idx="1">
                  <c:v>NFR</c:v>
                </c:pt>
                <c:pt idx="2">
                  <c:v>NR</c:v>
                </c:pt>
                <c:pt idx="3">
                  <c:v>NF</c:v>
                </c:pt>
                <c:pt idx="4">
                  <c:v>IC</c:v>
                </c:pt>
                <c:pt idx="5">
                  <c:v>NC</c:v>
                </c:pt>
                <c:pt idx="6">
                  <c:v>II</c:v>
                </c:pt>
                <c:pt idx="7">
                  <c:v>CI</c:v>
                </c:pt>
                <c:pt idx="8">
                  <c:v>FP</c:v>
                </c:pt>
                <c:pt idx="9">
                  <c:v>RP</c:v>
                </c:pt>
                <c:pt idx="10">
                  <c:v>FR</c:v>
                </c:pt>
              </c:strCache>
            </c:strRef>
          </c:cat>
          <c:val>
            <c:numRef>
              <c:f>Tg!$C$2:$C$12</c:f>
              <c:numCache>
                <c:formatCode>General</c:formatCode>
                <c:ptCount val="11"/>
                <c:pt idx="0">
                  <c:v>15</c:v>
                </c:pt>
                <c:pt idx="1">
                  <c:v>18</c:v>
                </c:pt>
                <c:pt idx="2">
                  <c:v>18</c:v>
                </c:pt>
                <c:pt idx="3">
                  <c:v>18</c:v>
                </c:pt>
                <c:pt idx="4">
                  <c:v>16</c:v>
                </c:pt>
                <c:pt idx="5">
                  <c:v>6.8</c:v>
                </c:pt>
                <c:pt idx="6">
                  <c:v>9.4</c:v>
                </c:pt>
                <c:pt idx="7">
                  <c:v>8.5</c:v>
                </c:pt>
                <c:pt idx="8">
                  <c:v>9.3000000000000007</c:v>
                </c:pt>
                <c:pt idx="9">
                  <c:v>9.1</c:v>
                </c:pt>
                <c:pt idx="10">
                  <c:v>9.1</c:v>
                </c:pt>
              </c:numCache>
            </c:numRef>
          </c:val>
          <c:extLst>
            <c:ext xmlns:c16="http://schemas.microsoft.com/office/drawing/2014/chart" uri="{C3380CC4-5D6E-409C-BE32-E72D297353CC}">
              <c16:uniqueId val="{00000000-B7AE-4342-B9D7-FDFD423D04C8}"/>
            </c:ext>
          </c:extLst>
        </c:ser>
        <c:dLbls>
          <c:showLegendKey val="0"/>
          <c:showVal val="0"/>
          <c:showCatName val="0"/>
          <c:showSerName val="0"/>
          <c:showPercent val="0"/>
          <c:showBubbleSize val="0"/>
        </c:dLbls>
        <c:gapWidth val="150"/>
        <c:axId val="446931952"/>
        <c:axId val="572497648"/>
      </c:barChart>
      <c:lineChart>
        <c:grouping val="standard"/>
        <c:varyColors val="0"/>
        <c:ser>
          <c:idx val="4"/>
          <c:order val="0"/>
          <c:tx>
            <c:strRef>
              <c:f>Tg!$B$1</c:f>
              <c:strCache>
                <c:ptCount val="1"/>
                <c:pt idx="0">
                  <c:v>number of articles</c:v>
                </c:pt>
              </c:strCache>
            </c:strRef>
          </c:tx>
          <c:spPr>
            <a:ln w="12700">
              <a:solidFill>
                <a:srgbClr val="000000"/>
              </a:solidFill>
            </a:ln>
          </c:spPr>
          <c:marker>
            <c:symbol val="circle"/>
            <c:size val="5"/>
            <c:spPr>
              <a:solidFill>
                <a:schemeClr val="tx1"/>
              </a:solidFill>
              <a:ln w="9525">
                <a:solidFill>
                  <a:srgbClr val="000000"/>
                </a:solidFill>
              </a:ln>
            </c:spPr>
          </c:marker>
          <c:cat>
            <c:strRef>
              <c:f>Tg!$A$2:$A$12</c:f>
              <c:strCache>
                <c:ptCount val="11"/>
                <c:pt idx="0">
                  <c:v>TP</c:v>
                </c:pt>
                <c:pt idx="1">
                  <c:v>NFR</c:v>
                </c:pt>
                <c:pt idx="2">
                  <c:v>NR</c:v>
                </c:pt>
                <c:pt idx="3">
                  <c:v>NF</c:v>
                </c:pt>
                <c:pt idx="4">
                  <c:v>IC</c:v>
                </c:pt>
                <c:pt idx="5">
                  <c:v>NC</c:v>
                </c:pt>
                <c:pt idx="6">
                  <c:v>II</c:v>
                </c:pt>
                <c:pt idx="7">
                  <c:v>CI</c:v>
                </c:pt>
                <c:pt idx="8">
                  <c:v>FP</c:v>
                </c:pt>
                <c:pt idx="9">
                  <c:v>RP</c:v>
                </c:pt>
                <c:pt idx="10">
                  <c:v>FR</c:v>
                </c:pt>
              </c:strCache>
            </c:strRef>
          </c:cat>
          <c:val>
            <c:numRef>
              <c:f>Tg!$B$2:$B$12</c:f>
              <c:numCache>
                <c:formatCode>General</c:formatCode>
                <c:ptCount val="11"/>
                <c:pt idx="0">
                  <c:v>7806</c:v>
                </c:pt>
                <c:pt idx="1">
                  <c:v>5267</c:v>
                </c:pt>
                <c:pt idx="2">
                  <c:v>5333</c:v>
                </c:pt>
                <c:pt idx="3">
                  <c:v>5267</c:v>
                </c:pt>
                <c:pt idx="4">
                  <c:v>6751</c:v>
                </c:pt>
                <c:pt idx="5">
                  <c:v>393</c:v>
                </c:pt>
                <c:pt idx="6">
                  <c:v>662</c:v>
                </c:pt>
                <c:pt idx="7">
                  <c:v>1055</c:v>
                </c:pt>
                <c:pt idx="8">
                  <c:v>2539</c:v>
                </c:pt>
                <c:pt idx="9">
                  <c:v>2473</c:v>
                </c:pt>
                <c:pt idx="10">
                  <c:v>2473</c:v>
                </c:pt>
              </c:numCache>
            </c:numRef>
          </c:val>
          <c:smooth val="0"/>
          <c:extLst>
            <c:ext xmlns:c16="http://schemas.microsoft.com/office/drawing/2014/chart" uri="{C3380CC4-5D6E-409C-BE32-E72D297353CC}">
              <c16:uniqueId val="{00000001-B7AE-4342-B9D7-FDFD423D04C8}"/>
            </c:ext>
          </c:extLst>
        </c:ser>
        <c:dLbls>
          <c:showLegendKey val="0"/>
          <c:showVal val="0"/>
          <c:showCatName val="0"/>
          <c:showSerName val="0"/>
          <c:showPercent val="0"/>
          <c:showBubbleSize val="0"/>
        </c:dLbls>
        <c:marker val="1"/>
        <c:smooth val="0"/>
        <c:axId val="572496528"/>
        <c:axId val="572497088"/>
      </c:lineChart>
      <c:catAx>
        <c:axId val="572496528"/>
        <c:scaling>
          <c:orientation val="minMax"/>
        </c:scaling>
        <c:delete val="0"/>
        <c:axPos val="b"/>
        <c:numFmt formatCode="General" sourceLinked="1"/>
        <c:majorTickMark val="none"/>
        <c:minorTickMark val="none"/>
        <c:tickLblPos val="nextTo"/>
        <c:spPr>
          <a:noFill/>
          <a:ln w="12700">
            <a:solidFill>
              <a:srgbClr val="000000"/>
            </a:solidFill>
            <a:prstDash val="solid"/>
          </a:ln>
        </c:spPr>
        <c:txPr>
          <a:bodyPr rot="5400000" vert="horz" anchor="ctr" anchorCtr="1"/>
          <a:lstStyle/>
          <a:p>
            <a:pPr>
              <a:defRPr sz="1000" b="0" i="0" u="none" strike="noStrike" baseline="0">
                <a:solidFill>
                  <a:srgbClr val="000000"/>
                </a:solidFill>
                <a:latin typeface="Arial"/>
                <a:ea typeface="Arial"/>
                <a:cs typeface="Arial"/>
              </a:defRPr>
            </a:pPr>
            <a:endParaRPr lang="es-CR"/>
          </a:p>
        </c:txPr>
        <c:crossAx val="572497088"/>
        <c:crosses val="autoZero"/>
        <c:auto val="1"/>
        <c:lblAlgn val="ctr"/>
        <c:lblOffset val="100"/>
        <c:noMultiLvlLbl val="0"/>
      </c:catAx>
      <c:valAx>
        <c:axId val="57249708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ltLang="en-US"/>
                  <a:t>Number</a:t>
                </a:r>
                <a:r>
                  <a:rPr lang="en-US" altLang="en-US" sz="1000" b="1" i="0" u="none" strike="noStrike" kern="1200" baseline="0">
                    <a:solidFill>
                      <a:srgbClr val="000000"/>
                    </a:solidFill>
                    <a:latin typeface="Arial"/>
                    <a:cs typeface="Arial"/>
                  </a:rPr>
                  <a:t> </a:t>
                </a:r>
                <a:r>
                  <a:rPr lang="en-US" altLang="en-US"/>
                  <a:t>of</a:t>
                </a:r>
                <a:r>
                  <a:rPr lang="en-US" altLang="en-US" sz="1000" b="1" i="0" u="none" strike="noStrike" kern="1200" baseline="0">
                    <a:solidFill>
                      <a:srgbClr val="000000"/>
                    </a:solidFill>
                    <a:latin typeface="Arial"/>
                    <a:cs typeface="Arial"/>
                  </a:rPr>
                  <a:t> </a:t>
                </a:r>
                <a:r>
                  <a:rPr lang="en-US" altLang="en-US"/>
                  <a:t>articles</a:t>
                </a:r>
              </a:p>
            </c:rich>
          </c:tx>
          <c:layout>
            <c:manualLayout>
              <c:xMode val="edge"/>
              <c:yMode val="edge"/>
              <c:x val="5.3025548140257491E-4"/>
              <c:y val="0.34271580033097288"/>
            </c:manualLayout>
          </c:layout>
          <c:overlay val="0"/>
          <c:spPr>
            <a:noFill/>
            <a:ln w="25400">
              <a:noFill/>
            </a:ln>
          </c:spPr>
        </c:title>
        <c:numFmt formatCode="General" sourceLinked="1"/>
        <c:majorTickMark val="in"/>
        <c:minorTickMark val="none"/>
        <c:tickLblPos val="nextTo"/>
        <c:spPr>
          <a:ln w="127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CR"/>
          </a:p>
        </c:txPr>
        <c:crossAx val="572496528"/>
        <c:crosses val="autoZero"/>
        <c:crossBetween val="between"/>
      </c:valAx>
      <c:valAx>
        <c:axId val="572497648"/>
        <c:scaling>
          <c:orientation val="minMax"/>
        </c:scaling>
        <c:delete val="0"/>
        <c:axPos val="r"/>
        <c:title>
          <c:tx>
            <c:rich>
              <a:bodyPr rot="5400000" vert="horz"/>
              <a:lstStyle/>
              <a:p>
                <a:pPr>
                  <a:defRPr b="1"/>
                </a:pPr>
                <a:r>
                  <a:rPr lang="en-US" altLang="en-US" b="1"/>
                  <a:t>Citations</a:t>
                </a:r>
                <a:r>
                  <a:rPr lang="en-US" altLang="en-US" sz="1000" b="1" i="0" u="none" strike="noStrike" kern="1200" baseline="0">
                    <a:solidFill>
                      <a:srgbClr val="000000"/>
                    </a:solidFill>
                    <a:latin typeface="Arial"/>
                    <a:cs typeface="Arial"/>
                  </a:rPr>
                  <a:t> </a:t>
                </a:r>
                <a:r>
                  <a:rPr lang="en-US" altLang="en-US" b="1"/>
                  <a:t>per</a:t>
                </a:r>
                <a:r>
                  <a:rPr lang="en-US" altLang="en-US" sz="1000" b="1" i="0" u="none" strike="noStrike" kern="1200" baseline="0">
                    <a:solidFill>
                      <a:srgbClr val="000000"/>
                    </a:solidFill>
                    <a:latin typeface="Arial"/>
                    <a:cs typeface="Arial"/>
                  </a:rPr>
                  <a:t> </a:t>
                </a:r>
                <a:r>
                  <a:rPr lang="en-US" altLang="en-US" b="1"/>
                  <a:t>publication</a:t>
                </a:r>
              </a:p>
            </c:rich>
          </c:tx>
          <c:layout>
            <c:manualLayout>
              <c:xMode val="edge"/>
              <c:yMode val="edge"/>
              <c:x val="0.96150371679970015"/>
              <c:y val="0.30060126051377434"/>
            </c:manualLayout>
          </c:layout>
          <c:overlay val="0"/>
        </c:title>
        <c:numFmt formatCode="General" sourceLinked="1"/>
        <c:majorTickMark val="in"/>
        <c:minorTickMark val="none"/>
        <c:tickLblPos val="nextTo"/>
        <c:spPr>
          <a:noFill/>
          <a:ln w="12700">
            <a:solidFill>
              <a:srgbClr val="000000"/>
            </a:solidFill>
          </a:ln>
        </c:spPr>
        <c:crossAx val="446931952"/>
        <c:crosses val="max"/>
        <c:crossBetween val="between"/>
      </c:valAx>
      <c:catAx>
        <c:axId val="446931952"/>
        <c:scaling>
          <c:orientation val="minMax"/>
        </c:scaling>
        <c:delete val="1"/>
        <c:axPos val="b"/>
        <c:numFmt formatCode="General" sourceLinked="1"/>
        <c:majorTickMark val="out"/>
        <c:minorTickMark val="none"/>
        <c:tickLblPos val="none"/>
        <c:crossAx val="572497648"/>
        <c:crosses val="autoZero"/>
        <c:auto val="1"/>
        <c:lblAlgn val="ctr"/>
        <c:lblOffset val="100"/>
        <c:noMultiLvlLbl val="0"/>
      </c:catAx>
      <c:spPr>
        <a:noFill/>
        <a:ln w="12700">
          <a:solidFill>
            <a:srgbClr val="000000"/>
          </a:solidFill>
          <a:prstDash val="solid"/>
        </a:ln>
      </c:spPr>
    </c:plotArea>
    <c:legend>
      <c:legendPos val="r"/>
      <c:layout>
        <c:manualLayout>
          <c:xMode val="edge"/>
          <c:yMode val="edge"/>
          <c:x val="0.49209145885877448"/>
          <c:y val="4.0750781696194199E-2"/>
          <c:w val="0.33326840666359425"/>
          <c:h val="9.1428257794328727E-2"/>
        </c:manualLayout>
      </c:layout>
      <c:overlay val="0"/>
      <c:spPr>
        <a:noFill/>
        <a:ln w="25400">
          <a:noFill/>
        </a:ln>
      </c:spPr>
      <c:txPr>
        <a:bodyPr/>
        <a:lstStyle/>
        <a:p>
          <a:pPr>
            <a:defRPr sz="1000" b="0" i="0" u="none" strike="noStrike" baseline="0">
              <a:solidFill>
                <a:srgbClr val="000000"/>
              </a:solidFill>
              <a:latin typeface="Arial"/>
              <a:ea typeface="Arial"/>
              <a:cs typeface="Arial"/>
            </a:defRPr>
          </a:pPr>
          <a:endParaRPr lang="es-CR"/>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s-C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1447</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RBT</dc:creator>
  <cp:keywords/>
  <dc:description/>
  <cp:lastModifiedBy>ucr</cp:lastModifiedBy>
  <cp:revision>9</cp:revision>
  <dcterms:created xsi:type="dcterms:W3CDTF">2019-10-22T19:30:00Z</dcterms:created>
  <dcterms:modified xsi:type="dcterms:W3CDTF">2020-01-16T20:14:00Z</dcterms:modified>
</cp:coreProperties>
</file>