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065B5" w14:textId="77777777" w:rsidR="00162454" w:rsidRPr="001A57C4" w:rsidRDefault="00162454" w:rsidP="00162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C4">
        <w:rPr>
          <w:rFonts w:ascii="Times New Roman" w:hAnsi="Times New Roman" w:cs="Times New Roman"/>
          <w:b/>
          <w:sz w:val="24"/>
          <w:szCs w:val="24"/>
        </w:rPr>
        <w:t xml:space="preserve">APÉNDICE 1 </w:t>
      </w:r>
    </w:p>
    <w:p w14:paraId="628A8414" w14:textId="77777777" w:rsidR="00162454" w:rsidRPr="001A57C4" w:rsidRDefault="00162454" w:rsidP="00162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7C4">
        <w:rPr>
          <w:rFonts w:ascii="Times New Roman" w:hAnsi="Times New Roman" w:cs="Times New Roman"/>
          <w:sz w:val="24"/>
          <w:szCs w:val="24"/>
        </w:rPr>
        <w:t xml:space="preserve">Abundancia relativa por género para cada orden 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1A57C4">
        <w:rPr>
          <w:rFonts w:ascii="Times New Roman" w:hAnsi="Times New Roman" w:cs="Times New Roman"/>
          <w:sz w:val="24"/>
          <w:szCs w:val="24"/>
        </w:rPr>
        <w:t xml:space="preserve"> la época húmeda y seca</w:t>
      </w:r>
    </w:p>
    <w:p w14:paraId="76F9DD5C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A57C4">
        <w:rPr>
          <w:rFonts w:ascii="Times New Roman" w:hAnsi="Times New Roman" w:cs="Times New Roman"/>
          <w:b/>
          <w:szCs w:val="24"/>
          <w:lang w:val="en-US"/>
        </w:rPr>
        <w:t>APPENDIX 1</w:t>
      </w:r>
    </w:p>
    <w:p w14:paraId="6AAE1A6A" w14:textId="77777777" w:rsidR="0016245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1A57C4">
        <w:rPr>
          <w:rFonts w:ascii="Times New Roman" w:hAnsi="Times New Roman" w:cs="Times New Roman"/>
          <w:szCs w:val="24"/>
          <w:lang w:val="en-US"/>
        </w:rPr>
        <w:t>Relative abundance by gender for each order for the wet and dry season</w:t>
      </w:r>
    </w:p>
    <w:p w14:paraId="3438486C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</w:p>
    <w:p w14:paraId="6E3F30FF" w14:textId="77777777" w:rsidR="00162454" w:rsidRPr="001A57C4" w:rsidRDefault="00162454" w:rsidP="00162454">
      <w:pPr>
        <w:pStyle w:val="RevistaScientiaForestalis"/>
        <w:jc w:val="center"/>
        <w:rPr>
          <w:rFonts w:ascii="Times New Roman" w:hAnsi="Times New Roman" w:cs="Times New Roman"/>
          <w:szCs w:val="24"/>
          <w:lang w:val="es-ES"/>
        </w:rPr>
      </w:pPr>
      <w:r w:rsidRPr="001A57C4">
        <w:rPr>
          <w:rFonts w:ascii="Times New Roman" w:hAnsi="Times New Roman" w:cs="Times New Roman"/>
          <w:noProof/>
          <w:szCs w:val="24"/>
          <w:lang w:val="en-US"/>
        </w:rPr>
        <w:drawing>
          <wp:inline distT="0" distB="0" distL="0" distR="0" wp14:anchorId="5993A0C8" wp14:editId="0F8C0DD9">
            <wp:extent cx="7144757" cy="4986545"/>
            <wp:effectExtent l="0" t="6667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32560" cy="50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797B5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A57C4">
        <w:rPr>
          <w:rFonts w:ascii="Times New Roman" w:hAnsi="Times New Roman" w:cs="Times New Roman"/>
          <w:b/>
          <w:szCs w:val="24"/>
        </w:rPr>
        <w:lastRenderedPageBreak/>
        <w:t>APÉNDICE 2</w:t>
      </w:r>
    </w:p>
    <w:p w14:paraId="1A93B1FB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A57C4">
        <w:rPr>
          <w:rFonts w:ascii="Times New Roman" w:hAnsi="Times New Roman" w:cs="Times New Roman"/>
          <w:szCs w:val="24"/>
        </w:rPr>
        <w:t>Curva de acumulación de géneros de colémbolos por cobertura</w:t>
      </w:r>
      <w:r>
        <w:rPr>
          <w:rFonts w:ascii="Times New Roman" w:hAnsi="Times New Roman" w:cs="Times New Roman"/>
          <w:szCs w:val="24"/>
        </w:rPr>
        <w:t xml:space="preserve"> en</w:t>
      </w:r>
      <w:r w:rsidRPr="001A57C4">
        <w:rPr>
          <w:rFonts w:ascii="Times New Roman" w:hAnsi="Times New Roman" w:cs="Times New Roman"/>
          <w:szCs w:val="24"/>
        </w:rPr>
        <w:t xml:space="preserve"> época húmeda (izquierda)</w:t>
      </w:r>
      <w:r>
        <w:rPr>
          <w:rFonts w:ascii="Times New Roman" w:hAnsi="Times New Roman" w:cs="Times New Roman"/>
          <w:szCs w:val="24"/>
        </w:rPr>
        <w:t xml:space="preserve"> y</w:t>
      </w:r>
      <w:r w:rsidRPr="001A57C4">
        <w:rPr>
          <w:rFonts w:ascii="Times New Roman" w:hAnsi="Times New Roman" w:cs="Times New Roman"/>
          <w:szCs w:val="24"/>
        </w:rPr>
        <w:t xml:space="preserve"> época seca (derecha)</w:t>
      </w:r>
    </w:p>
    <w:p w14:paraId="2F1F98A4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A57C4">
        <w:rPr>
          <w:rFonts w:ascii="Times New Roman" w:hAnsi="Times New Roman" w:cs="Times New Roman"/>
          <w:b/>
          <w:szCs w:val="24"/>
          <w:lang w:val="en-US"/>
        </w:rPr>
        <w:t>APPENDIX 2</w:t>
      </w:r>
    </w:p>
    <w:p w14:paraId="6A2F96BB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A57C4">
        <w:rPr>
          <w:rFonts w:ascii="Times New Roman" w:hAnsi="Times New Roman" w:cs="Times New Roman"/>
          <w:szCs w:val="24"/>
          <w:lang w:val="en-US"/>
        </w:rPr>
        <w:t>Accumulation curve of genera of springtails by coverage wet season (left) dry season (right)</w:t>
      </w:r>
    </w:p>
    <w:p w14:paraId="3EB664E4" w14:textId="77777777" w:rsidR="00162454" w:rsidRPr="001A57C4" w:rsidRDefault="00162454" w:rsidP="00162454">
      <w:pPr>
        <w:pStyle w:val="RevistaScientiaForestalis"/>
        <w:rPr>
          <w:rFonts w:ascii="Times New Roman" w:hAnsi="Times New Roman" w:cs="Times New Roman"/>
          <w:noProof/>
          <w:szCs w:val="24"/>
          <w:lang w:val="en-US"/>
        </w:rPr>
      </w:pPr>
    </w:p>
    <w:p w14:paraId="76495A50" w14:textId="77777777" w:rsidR="00162454" w:rsidRPr="001A57C4" w:rsidRDefault="00162454" w:rsidP="00162454">
      <w:pPr>
        <w:pStyle w:val="RevistaScientiaForestalis"/>
        <w:rPr>
          <w:rFonts w:ascii="Times New Roman" w:hAnsi="Times New Roman" w:cs="Times New Roman"/>
          <w:szCs w:val="24"/>
          <w:lang w:val="es-ES"/>
        </w:rPr>
      </w:pPr>
      <w:r w:rsidRPr="001A57C4">
        <w:rPr>
          <w:rFonts w:ascii="Times New Roman" w:hAnsi="Times New Roman" w:cs="Times New Roman"/>
          <w:noProof/>
          <w:szCs w:val="24"/>
          <w:lang w:val="en-US"/>
        </w:rPr>
        <w:drawing>
          <wp:inline distT="0" distB="0" distL="0" distR="0" wp14:anchorId="0AFBF49C" wp14:editId="7EE3AFAD">
            <wp:extent cx="5878827" cy="1613647"/>
            <wp:effectExtent l="0" t="0" r="190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140" cy="1624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1AA6F2" w14:textId="77777777" w:rsidR="00162454" w:rsidRPr="001A57C4" w:rsidRDefault="00162454" w:rsidP="00162454">
      <w:pPr>
        <w:pStyle w:val="RevistaScientiaForestalis"/>
        <w:spacing w:line="240" w:lineRule="auto"/>
        <w:rPr>
          <w:rFonts w:ascii="Times New Roman" w:hAnsi="Times New Roman" w:cs="Times New Roman"/>
          <w:b/>
          <w:szCs w:val="24"/>
          <w:lang w:val="en-US"/>
        </w:rPr>
      </w:pPr>
    </w:p>
    <w:p w14:paraId="548383BB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A57C4">
        <w:rPr>
          <w:rFonts w:ascii="Times New Roman" w:hAnsi="Times New Roman" w:cs="Times New Roman"/>
          <w:b/>
          <w:szCs w:val="24"/>
        </w:rPr>
        <w:t>APÉNDICE 3</w:t>
      </w:r>
    </w:p>
    <w:p w14:paraId="5461737A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A57C4">
        <w:rPr>
          <w:rFonts w:ascii="Times New Roman" w:hAnsi="Times New Roman" w:cs="Times New Roman"/>
          <w:szCs w:val="24"/>
        </w:rPr>
        <w:t>Curva de acumulación de géneros de colémbolos por cobertura (A), Porcentaje de completitud de géneros de colémbolos por cobertura (B)</w:t>
      </w:r>
    </w:p>
    <w:p w14:paraId="3997E14B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A57C4">
        <w:rPr>
          <w:rFonts w:ascii="Times New Roman" w:hAnsi="Times New Roman" w:cs="Times New Roman"/>
          <w:b/>
          <w:szCs w:val="24"/>
          <w:lang w:val="en-US"/>
        </w:rPr>
        <w:t>APPENDIX 3</w:t>
      </w:r>
    </w:p>
    <w:p w14:paraId="12AAC926" w14:textId="77777777" w:rsidR="0016245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A57C4">
        <w:rPr>
          <w:rFonts w:ascii="Times New Roman" w:hAnsi="Times New Roman" w:cs="Times New Roman"/>
          <w:szCs w:val="24"/>
          <w:lang w:val="en-US"/>
        </w:rPr>
        <w:t>Accumulation curve of genera of springtails by coverage (A), Percentage of completeness of genera of springtails by coverage (B)</w:t>
      </w:r>
    </w:p>
    <w:p w14:paraId="3CF3748C" w14:textId="77777777" w:rsidR="00162454" w:rsidRPr="00D47783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14:paraId="62CAEC1C" w14:textId="77777777" w:rsidR="00162454" w:rsidRPr="00AD7BF3" w:rsidRDefault="00162454" w:rsidP="00162454">
      <w:pPr>
        <w:pStyle w:val="RevistaScientiaForestalis"/>
        <w:jc w:val="center"/>
        <w:rPr>
          <w:rFonts w:ascii="Times New Roman" w:hAnsi="Times New Roman" w:cs="Times New Roman"/>
          <w:szCs w:val="24"/>
          <w:lang w:val="es-ES"/>
        </w:rPr>
      </w:pPr>
      <w:r w:rsidRPr="001A57C4">
        <w:rPr>
          <w:rFonts w:ascii="Times New Roman" w:hAnsi="Times New Roman" w:cs="Times New Roman"/>
          <w:noProof/>
          <w:szCs w:val="24"/>
          <w:lang w:val="en-US"/>
        </w:rPr>
        <w:lastRenderedPageBreak/>
        <w:drawing>
          <wp:inline distT="0" distB="0" distL="0" distR="0" wp14:anchorId="7FD78A16" wp14:editId="0AD97325">
            <wp:extent cx="5065025" cy="5652464"/>
            <wp:effectExtent l="0" t="0" r="254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025" cy="56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0D26E" w14:textId="77777777" w:rsidR="00162454" w:rsidRPr="001A57C4" w:rsidRDefault="00162454" w:rsidP="00162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7C4">
        <w:rPr>
          <w:rFonts w:ascii="Times New Roman" w:hAnsi="Times New Roman" w:cs="Times New Roman"/>
          <w:b/>
          <w:sz w:val="24"/>
          <w:szCs w:val="24"/>
        </w:rPr>
        <w:t>APÉNDICE 4</w:t>
      </w:r>
      <w:r w:rsidRPr="001A5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57AC8" w14:textId="77777777" w:rsidR="00162454" w:rsidRPr="001A57C4" w:rsidRDefault="00162454" w:rsidP="00162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7C4">
        <w:rPr>
          <w:rFonts w:ascii="Times New Roman" w:hAnsi="Times New Roman" w:cs="Times New Roman"/>
          <w:sz w:val="24"/>
          <w:szCs w:val="24"/>
        </w:rPr>
        <w:t xml:space="preserve">Variables explicativas en RDA para pastos, plantaciones de </w:t>
      </w:r>
      <w:r w:rsidRPr="001A57C4">
        <w:rPr>
          <w:rFonts w:ascii="Times New Roman" w:hAnsi="Times New Roman" w:cs="Times New Roman"/>
          <w:i/>
          <w:sz w:val="24"/>
          <w:szCs w:val="24"/>
        </w:rPr>
        <w:t>E. pellita</w:t>
      </w:r>
      <w:r w:rsidRPr="001A57C4">
        <w:rPr>
          <w:rFonts w:ascii="Times New Roman" w:hAnsi="Times New Roman" w:cs="Times New Roman"/>
          <w:sz w:val="24"/>
          <w:szCs w:val="24"/>
        </w:rPr>
        <w:t xml:space="preserve"> y bosques de galería</w:t>
      </w:r>
    </w:p>
    <w:p w14:paraId="0BE44D09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A57C4">
        <w:rPr>
          <w:rFonts w:ascii="Times New Roman" w:hAnsi="Times New Roman" w:cs="Times New Roman"/>
          <w:b/>
          <w:szCs w:val="24"/>
          <w:lang w:val="en-US"/>
        </w:rPr>
        <w:t>APPENDIX 4</w:t>
      </w:r>
    </w:p>
    <w:p w14:paraId="506C07D8" w14:textId="77777777" w:rsidR="0016245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1A57C4">
        <w:rPr>
          <w:rFonts w:ascii="Times New Roman" w:hAnsi="Times New Roman" w:cs="Times New Roman"/>
          <w:szCs w:val="24"/>
          <w:lang w:val="en-US"/>
        </w:rPr>
        <w:t xml:space="preserve">Explanatory variables in RDA for pastures, </w:t>
      </w:r>
      <w:r w:rsidRPr="001A57C4">
        <w:rPr>
          <w:rFonts w:ascii="Times New Roman" w:hAnsi="Times New Roman" w:cs="Times New Roman"/>
          <w:i/>
          <w:szCs w:val="24"/>
          <w:lang w:val="en-US"/>
        </w:rPr>
        <w:t xml:space="preserve">E. </w:t>
      </w:r>
      <w:proofErr w:type="spellStart"/>
      <w:r w:rsidRPr="001A57C4">
        <w:rPr>
          <w:rFonts w:ascii="Times New Roman" w:hAnsi="Times New Roman" w:cs="Times New Roman"/>
          <w:i/>
          <w:szCs w:val="24"/>
          <w:lang w:val="en-US"/>
        </w:rPr>
        <w:t>pellita</w:t>
      </w:r>
      <w:proofErr w:type="spellEnd"/>
      <w:r w:rsidRPr="001A57C4">
        <w:rPr>
          <w:rFonts w:ascii="Times New Roman" w:hAnsi="Times New Roman" w:cs="Times New Roman"/>
          <w:szCs w:val="24"/>
          <w:lang w:val="en-US"/>
        </w:rPr>
        <w:t xml:space="preserve"> plantations and gallery forests</w:t>
      </w:r>
    </w:p>
    <w:p w14:paraId="5B75BE70" w14:textId="77777777" w:rsidR="00162454" w:rsidRPr="001A57C4" w:rsidRDefault="00162454" w:rsidP="00162454">
      <w:pPr>
        <w:pStyle w:val="RevistaScientiaForestalis"/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2835"/>
        <w:gridCol w:w="1218"/>
        <w:gridCol w:w="951"/>
        <w:gridCol w:w="756"/>
      </w:tblGrid>
      <w:tr w:rsidR="00162454" w:rsidRPr="001A57C4" w14:paraId="718ACC5F" w14:textId="77777777" w:rsidTr="00027B8B">
        <w:trPr>
          <w:trHeight w:val="315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7A7C7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C5602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Varianza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C66F6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6DC35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</w:p>
        </w:tc>
      </w:tr>
      <w:tr w:rsidR="00162454" w:rsidRPr="001A57C4" w14:paraId="2D32E11E" w14:textId="77777777" w:rsidTr="00027B8B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40BC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Nitrógeno (%) </w:t>
            </w:r>
            <w:r w:rsidRPr="001A5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5F9C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037198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D27F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6707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F80E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</w:t>
            </w:r>
          </w:p>
        </w:tc>
      </w:tr>
      <w:tr w:rsidR="00162454" w:rsidRPr="001A57C4" w14:paraId="7CD9085C" w14:textId="77777777" w:rsidTr="00027B8B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FFF0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Altura (m) </w:t>
            </w:r>
            <w:r w:rsidRPr="001A5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4AF7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019886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C917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6355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2570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001</w:t>
            </w:r>
          </w:p>
        </w:tc>
      </w:tr>
      <w:tr w:rsidR="00162454" w:rsidRPr="001A57C4" w14:paraId="49338C21" w14:textId="77777777" w:rsidTr="00027B8B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2A6FC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Exposición de suelo alrededor de la trampa </w:t>
            </w:r>
            <w:r w:rsidRPr="001A5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CEB3D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011323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946E5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1A0D2" w14:textId="77777777" w:rsidR="00162454" w:rsidRPr="001A57C4" w:rsidRDefault="00162454" w:rsidP="0002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013</w:t>
            </w:r>
          </w:p>
        </w:tc>
      </w:tr>
    </w:tbl>
    <w:p w14:paraId="70C7BC50" w14:textId="77777777" w:rsidR="00162454" w:rsidRDefault="00162454"/>
    <w:sectPr w:rsidR="001624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54"/>
    <w:rsid w:val="0016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EA172"/>
  <w15:chartTrackingRefBased/>
  <w15:docId w15:val="{F757F542-FF90-1C48-A25B-6532ADD2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54"/>
    <w:pPr>
      <w:spacing w:after="160" w:line="259" w:lineRule="auto"/>
    </w:pPr>
    <w:rPr>
      <w:sz w:val="22"/>
      <w:szCs w:val="22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vistaScientiaForestalis">
    <w:name w:val="Revista Scientia Forestalis"/>
    <w:basedOn w:val="Normal"/>
    <w:link w:val="RevistaScientiaForestalisCar"/>
    <w:qFormat/>
    <w:rsid w:val="00162454"/>
    <w:pPr>
      <w:spacing w:line="480" w:lineRule="auto"/>
      <w:jc w:val="both"/>
    </w:pPr>
    <w:rPr>
      <w:rFonts w:ascii="Arial" w:hAnsi="Arial"/>
      <w:sz w:val="24"/>
    </w:rPr>
  </w:style>
  <w:style w:type="character" w:customStyle="1" w:styleId="RevistaScientiaForestalisCar">
    <w:name w:val="Revista Scientia Forestalis Car"/>
    <w:basedOn w:val="DefaultParagraphFont"/>
    <w:link w:val="RevistaScientiaForestalis"/>
    <w:rsid w:val="00162454"/>
    <w:rPr>
      <w:rFonts w:ascii="Arial" w:hAnsi="Arial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2020-08-28T01:28:00Z</dcterms:created>
  <dcterms:modified xsi:type="dcterms:W3CDTF">2020-08-28T01:29:00Z</dcterms:modified>
</cp:coreProperties>
</file>