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6D09" w14:textId="77777777" w:rsidR="00AA51B0" w:rsidRDefault="00AA51B0" w:rsidP="00AA51B0">
      <w:pPr>
        <w:spacing w:after="0"/>
        <w:jc w:val="center"/>
      </w:pPr>
      <w:r>
        <w:t>SUPPLEMENTARY MATERIAL</w:t>
      </w:r>
    </w:p>
    <w:p w14:paraId="1E21BAC8" w14:textId="77777777" w:rsidR="00AA51B0" w:rsidRDefault="00AA51B0" w:rsidP="00AA51B0">
      <w:pPr>
        <w:spacing w:after="0"/>
        <w:jc w:val="center"/>
      </w:pPr>
    </w:p>
    <w:p w14:paraId="57C12429" w14:textId="77777777" w:rsidR="00AA51B0" w:rsidRPr="00471919" w:rsidRDefault="00AA51B0" w:rsidP="00AA51B0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71919">
        <w:rPr>
          <w:rFonts w:cstheme="minorHAnsi"/>
          <w:b/>
          <w:bCs/>
          <w:sz w:val="24"/>
          <w:szCs w:val="24"/>
        </w:rPr>
        <w:t>Differences in foraging strategies and morphology of five warbler species (Parulidae) in a tropical mangrove forest</w:t>
      </w:r>
    </w:p>
    <w:p w14:paraId="73708FC9" w14:textId="02919F83" w:rsidR="00AA51B0" w:rsidRPr="00AA51B0" w:rsidRDefault="00AA51B0" w:rsidP="00AA51B0">
      <w:pPr>
        <w:spacing w:after="0" w:line="240" w:lineRule="auto"/>
        <w:jc w:val="center"/>
        <w:rPr>
          <w:rStyle w:val="Hyperlink"/>
          <w:rFonts w:cstheme="minorHAnsi"/>
          <w:sz w:val="24"/>
          <w:szCs w:val="24"/>
          <w:lang w:val="es-ES"/>
        </w:rPr>
      </w:pPr>
      <w:r w:rsidRPr="00AA51B0">
        <w:rPr>
          <w:rFonts w:cstheme="minorHAnsi"/>
          <w:sz w:val="24"/>
          <w:szCs w:val="24"/>
          <w:lang w:val="es-ES"/>
        </w:rPr>
        <w:t>Gilbert Barrantes</w:t>
      </w:r>
      <w:r w:rsidRPr="00AA51B0">
        <w:rPr>
          <w:rFonts w:cstheme="minorHAnsi"/>
          <w:sz w:val="24"/>
          <w:szCs w:val="24"/>
          <w:vertAlign w:val="superscript"/>
          <w:lang w:val="es-ES"/>
        </w:rPr>
        <w:t>1</w:t>
      </w:r>
      <w:r>
        <w:rPr>
          <w:rFonts w:cstheme="minorHAnsi"/>
          <w:sz w:val="24"/>
          <w:szCs w:val="24"/>
          <w:vertAlign w:val="superscript"/>
          <w:lang w:val="es-ES"/>
        </w:rPr>
        <w:t>,2</w:t>
      </w:r>
      <w:r w:rsidRPr="00AA51B0">
        <w:rPr>
          <w:rFonts w:cstheme="minorHAnsi"/>
          <w:sz w:val="24"/>
          <w:szCs w:val="24"/>
          <w:lang w:val="es-ES"/>
        </w:rPr>
        <w:t xml:space="preserve">, </w:t>
      </w:r>
      <w:r w:rsidRPr="00AA51B0">
        <w:rPr>
          <w:rFonts w:cstheme="minorHAnsi"/>
          <w:sz w:val="24"/>
          <w:szCs w:val="24"/>
          <w:lang w:val="es-ES"/>
        </w:rPr>
        <w:t xml:space="preserve">Ana </w:t>
      </w:r>
      <w:r w:rsidRPr="00AA51B0">
        <w:rPr>
          <w:rFonts w:cstheme="minorHAnsi"/>
          <w:sz w:val="24"/>
          <w:szCs w:val="24"/>
          <w:lang w:val="es-ES"/>
        </w:rPr>
        <w:t>Catalina Sánchez-Quirós</w:t>
      </w:r>
      <w:r>
        <w:rPr>
          <w:rFonts w:cstheme="minorHAnsi"/>
          <w:sz w:val="24"/>
          <w:szCs w:val="24"/>
          <w:vertAlign w:val="superscript"/>
          <w:lang w:val="es-ES"/>
        </w:rPr>
        <w:t>1</w:t>
      </w:r>
      <w:r w:rsidRPr="00AA51B0">
        <w:rPr>
          <w:rFonts w:cstheme="minorHAnsi"/>
          <w:sz w:val="24"/>
          <w:szCs w:val="24"/>
          <w:lang w:val="es-ES"/>
        </w:rPr>
        <w:t xml:space="preserve">, and </w:t>
      </w:r>
      <w:r w:rsidRPr="00AA51B0">
        <w:rPr>
          <w:rFonts w:cstheme="minorHAnsi"/>
          <w:sz w:val="24"/>
          <w:szCs w:val="24"/>
          <w:lang w:val="es-ES"/>
        </w:rPr>
        <w:t>Luis San</w:t>
      </w:r>
      <w:r>
        <w:rPr>
          <w:rFonts w:cstheme="minorHAnsi"/>
          <w:sz w:val="24"/>
          <w:szCs w:val="24"/>
          <w:lang w:val="es-ES"/>
        </w:rPr>
        <w:t>doval</w:t>
      </w:r>
      <w:r>
        <w:rPr>
          <w:rFonts w:cstheme="minorHAnsi"/>
          <w:sz w:val="24"/>
          <w:szCs w:val="24"/>
          <w:vertAlign w:val="superscript"/>
          <w:lang w:val="es-ES"/>
        </w:rPr>
        <w:t>1,2</w:t>
      </w:r>
      <w:r w:rsidRPr="00AA51B0">
        <w:rPr>
          <w:rFonts w:cstheme="minorHAnsi"/>
          <w:sz w:val="24"/>
          <w:szCs w:val="24"/>
          <w:vertAlign w:val="superscript"/>
          <w:lang w:val="es-ES"/>
        </w:rPr>
        <w:t>,3</w:t>
      </w:r>
    </w:p>
    <w:p w14:paraId="7D2D8E83" w14:textId="77777777" w:rsidR="00AA51B0" w:rsidRDefault="00AA51B0" w:rsidP="00AA51B0">
      <w:pPr>
        <w:spacing w:after="0"/>
        <w:rPr>
          <w:lang w:val="es-ES"/>
        </w:rPr>
      </w:pPr>
    </w:p>
    <w:p w14:paraId="182CB7EA" w14:textId="77777777" w:rsidR="00AA51B0" w:rsidRDefault="00AA51B0" w:rsidP="00AA51B0">
      <w:pPr>
        <w:spacing w:after="0"/>
        <w:rPr>
          <w:lang w:val="es-ES"/>
        </w:rPr>
      </w:pPr>
    </w:p>
    <w:p w14:paraId="29E12598" w14:textId="77777777" w:rsidR="00AA51B0" w:rsidRPr="00471919" w:rsidRDefault="00AA51B0" w:rsidP="00AA51B0">
      <w:pPr>
        <w:spacing w:after="0" w:line="240" w:lineRule="auto"/>
        <w:rPr>
          <w:rFonts w:cstheme="minorHAnsi"/>
          <w:sz w:val="24"/>
          <w:szCs w:val="24"/>
          <w:lang w:val="es-ES"/>
        </w:rPr>
      </w:pPr>
      <w:r w:rsidRPr="00471919">
        <w:rPr>
          <w:rFonts w:cstheme="minorHAnsi"/>
          <w:sz w:val="24"/>
          <w:szCs w:val="24"/>
          <w:lang w:val="es-ES"/>
        </w:rPr>
        <w:t xml:space="preserve">1. Escuela de Biología, Universidad de Costa Rica, San José, Costa Rica; </w:t>
      </w:r>
      <w:hyperlink r:id="rId4" w:history="1">
        <w:r w:rsidRPr="00471919">
          <w:rPr>
            <w:rStyle w:val="Hyperlink"/>
            <w:rFonts w:cstheme="minorHAnsi"/>
            <w:sz w:val="24"/>
            <w:szCs w:val="24"/>
            <w:lang w:val="es-ES"/>
          </w:rPr>
          <w:t>gilbert.barrantes@gmail.com</w:t>
        </w:r>
      </w:hyperlink>
      <w:r w:rsidRPr="00471919">
        <w:rPr>
          <w:rFonts w:cstheme="minorHAnsi"/>
          <w:sz w:val="24"/>
          <w:szCs w:val="24"/>
          <w:lang w:val="es-ES"/>
        </w:rPr>
        <w:t xml:space="preserve">; catasq@gmail.com </w:t>
      </w:r>
    </w:p>
    <w:p w14:paraId="3D6C0C10" w14:textId="77777777" w:rsidR="00AA51B0" w:rsidRPr="00471919" w:rsidRDefault="00AA51B0" w:rsidP="00AA51B0">
      <w:pPr>
        <w:spacing w:after="0" w:line="240" w:lineRule="auto"/>
        <w:rPr>
          <w:rFonts w:cstheme="minorHAnsi"/>
          <w:sz w:val="24"/>
          <w:szCs w:val="24"/>
          <w:lang w:val="es-CR"/>
        </w:rPr>
      </w:pPr>
      <w:r w:rsidRPr="00471919">
        <w:rPr>
          <w:rFonts w:cstheme="minorHAnsi"/>
          <w:sz w:val="24"/>
          <w:szCs w:val="24"/>
          <w:lang w:val="es-ES"/>
        </w:rPr>
        <w:t xml:space="preserve">2. </w:t>
      </w:r>
      <w:r w:rsidRPr="00471919">
        <w:rPr>
          <w:rFonts w:cstheme="minorHAnsi"/>
          <w:sz w:val="24"/>
          <w:szCs w:val="24"/>
          <w:lang w:val="es-CR"/>
        </w:rPr>
        <w:t>Centro de Investigaciones en Biodiversidad y Ecología Tropical, Universidad de Costa Rica, San José, Costa Rica.</w:t>
      </w:r>
    </w:p>
    <w:p w14:paraId="7517A577" w14:textId="77777777" w:rsidR="00AA51B0" w:rsidRPr="00471919" w:rsidRDefault="00AA51B0" w:rsidP="00AA51B0">
      <w:pPr>
        <w:spacing w:after="0" w:line="240" w:lineRule="auto"/>
        <w:rPr>
          <w:rFonts w:cstheme="minorHAnsi"/>
          <w:sz w:val="24"/>
          <w:szCs w:val="24"/>
          <w:lang w:val="es-CR"/>
        </w:rPr>
      </w:pPr>
      <w:r w:rsidRPr="00471919">
        <w:rPr>
          <w:rFonts w:cstheme="minorHAnsi"/>
          <w:sz w:val="24"/>
          <w:szCs w:val="24"/>
          <w:lang w:val="es-CR"/>
        </w:rPr>
        <w:t xml:space="preserve">3. Laboratorio de Ecología Urbana y Comunicación Animal, </w:t>
      </w:r>
      <w:r w:rsidRPr="00471919">
        <w:rPr>
          <w:rFonts w:cstheme="minorHAnsi"/>
          <w:sz w:val="24"/>
          <w:szCs w:val="24"/>
          <w:lang w:val="es-ES"/>
        </w:rPr>
        <w:t>Escuela de Biología, Universidad de Costa Rica, San José, Costa Rica; biosandoval@gmail.com</w:t>
      </w:r>
    </w:p>
    <w:p w14:paraId="19F367C8" w14:textId="77777777" w:rsidR="00AA51B0" w:rsidRPr="00AA51B0" w:rsidRDefault="00AA51B0" w:rsidP="00AA51B0">
      <w:pPr>
        <w:spacing w:after="0"/>
        <w:rPr>
          <w:lang w:val="es-CR"/>
        </w:rPr>
      </w:pPr>
    </w:p>
    <w:p w14:paraId="0623B8B5" w14:textId="77777777" w:rsidR="00AA51B0" w:rsidRPr="00AA51B0" w:rsidRDefault="00AA51B0" w:rsidP="00AA51B0">
      <w:pPr>
        <w:spacing w:line="240" w:lineRule="auto"/>
        <w:rPr>
          <w:rFonts w:cstheme="minorHAnsi"/>
          <w:sz w:val="24"/>
          <w:szCs w:val="24"/>
          <w:lang w:val="es-ES"/>
        </w:rPr>
      </w:pPr>
    </w:p>
    <w:p w14:paraId="6AEB583C" w14:textId="77777777" w:rsidR="005B18EA" w:rsidRPr="004E6F91" w:rsidRDefault="005B18EA" w:rsidP="005B18EA">
      <w:pPr>
        <w:spacing w:after="0"/>
        <w:jc w:val="center"/>
      </w:pPr>
      <w:r>
        <w:t>Supplementary</w:t>
      </w:r>
      <w:r w:rsidRPr="004E6F91">
        <w:t xml:space="preserve"> T</w:t>
      </w:r>
      <w:r>
        <w:t>able</w:t>
      </w:r>
      <w:r w:rsidRPr="004E6F91">
        <w:t xml:space="preserve"> 1</w:t>
      </w:r>
    </w:p>
    <w:p w14:paraId="5947592D" w14:textId="77777777" w:rsidR="00AA51B0" w:rsidRPr="00471919" w:rsidRDefault="00AA51B0" w:rsidP="00AA51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71919">
        <w:rPr>
          <w:rFonts w:cstheme="minorHAnsi"/>
          <w:sz w:val="24"/>
          <w:szCs w:val="24"/>
        </w:rPr>
        <w:t>Definition of substrates and foraging maneuvers employed by the five warbler species (</w:t>
      </w:r>
      <w:r w:rsidRPr="00471919">
        <w:rPr>
          <w:rFonts w:cstheme="minorHAnsi"/>
          <w:i/>
          <w:iCs/>
          <w:sz w:val="24"/>
          <w:szCs w:val="24"/>
        </w:rPr>
        <w:t>Setophaga p. erithachorides</w:t>
      </w:r>
      <w:r w:rsidRPr="00471919">
        <w:rPr>
          <w:rFonts w:cstheme="minorHAnsi"/>
          <w:sz w:val="24"/>
          <w:szCs w:val="24"/>
        </w:rPr>
        <w:t xml:space="preserve">, </w:t>
      </w:r>
      <w:r w:rsidRPr="00471919">
        <w:rPr>
          <w:rFonts w:cstheme="minorHAnsi"/>
          <w:i/>
          <w:iCs/>
          <w:sz w:val="24"/>
          <w:szCs w:val="24"/>
        </w:rPr>
        <w:t>S. petechia</w:t>
      </w:r>
      <w:r w:rsidRPr="00471919">
        <w:rPr>
          <w:rFonts w:cstheme="minorHAnsi"/>
          <w:sz w:val="24"/>
          <w:szCs w:val="24"/>
        </w:rPr>
        <w:t xml:space="preserve">, </w:t>
      </w:r>
      <w:r w:rsidRPr="00471919">
        <w:rPr>
          <w:rFonts w:cstheme="minorHAnsi"/>
          <w:i/>
          <w:iCs/>
          <w:sz w:val="24"/>
          <w:szCs w:val="24"/>
        </w:rPr>
        <w:t>Protonotaria citrea</w:t>
      </w:r>
      <w:r w:rsidRPr="00471919">
        <w:rPr>
          <w:rFonts w:cstheme="minorHAnsi"/>
          <w:sz w:val="24"/>
          <w:szCs w:val="24"/>
        </w:rPr>
        <w:t xml:space="preserve">, </w:t>
      </w:r>
      <w:r w:rsidRPr="00471919">
        <w:rPr>
          <w:rFonts w:cstheme="minorHAnsi"/>
          <w:i/>
          <w:iCs/>
          <w:sz w:val="24"/>
          <w:szCs w:val="24"/>
        </w:rPr>
        <w:t>Parkesia noveboracensis</w:t>
      </w:r>
      <w:r w:rsidRPr="00471919">
        <w:rPr>
          <w:rFonts w:cstheme="minorHAnsi"/>
          <w:sz w:val="24"/>
          <w:szCs w:val="24"/>
        </w:rPr>
        <w:t xml:space="preserve">, and </w:t>
      </w:r>
      <w:r w:rsidRPr="00471919">
        <w:rPr>
          <w:rFonts w:cstheme="minorHAnsi"/>
          <w:i/>
          <w:iCs/>
          <w:sz w:val="24"/>
          <w:szCs w:val="24"/>
        </w:rPr>
        <w:t>Leothlypis peregrina</w:t>
      </w:r>
      <w:r w:rsidRPr="00471919">
        <w:rPr>
          <w:rFonts w:cstheme="minorHAnsi"/>
          <w:sz w:val="24"/>
          <w:szCs w:val="24"/>
        </w:rPr>
        <w:t>) in the mangrove forest.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3402"/>
        <w:gridCol w:w="3005"/>
        <w:gridCol w:w="2807"/>
      </w:tblGrid>
      <w:tr w:rsidR="00AA51B0" w:rsidRPr="00471919" w14:paraId="6DF6CA28" w14:textId="77777777" w:rsidTr="00BB363F"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134F3A2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Substrates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77350FE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Definition</w:t>
            </w:r>
          </w:p>
        </w:tc>
      </w:tr>
      <w:tr w:rsidR="00AA51B0" w:rsidRPr="00471919" w14:paraId="328B0423" w14:textId="77777777" w:rsidTr="00BB363F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64EFA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Ground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09CC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Bare soil and litter scattered on the ground</w:t>
            </w:r>
          </w:p>
        </w:tc>
      </w:tr>
      <w:tr w:rsidR="00AA51B0" w:rsidRPr="00471919" w14:paraId="7CAC392A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2A9300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Roots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637EC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 xml:space="preserve">Aerial roots of </w:t>
            </w:r>
            <w:r w:rsidRPr="00471919">
              <w:rPr>
                <w:rFonts w:cstheme="minorHAnsi"/>
                <w:i/>
                <w:iCs/>
                <w:sz w:val="24"/>
                <w:szCs w:val="24"/>
              </w:rPr>
              <w:t>Rhizophora</w:t>
            </w:r>
            <w:r w:rsidRPr="00471919">
              <w:rPr>
                <w:rFonts w:cstheme="minorHAnsi"/>
                <w:sz w:val="24"/>
                <w:szCs w:val="24"/>
              </w:rPr>
              <w:t xml:space="preserve"> trees, exposed roots of other species, and pneumatophores of </w:t>
            </w:r>
            <w:r w:rsidRPr="00471919">
              <w:rPr>
                <w:rFonts w:cstheme="minorHAnsi"/>
                <w:i/>
                <w:iCs/>
                <w:sz w:val="24"/>
                <w:szCs w:val="24"/>
              </w:rPr>
              <w:t>Avicennia germinans</w:t>
            </w:r>
            <w:r w:rsidRPr="0047191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A51B0" w:rsidRPr="00471919" w14:paraId="70BAEC26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19F7C4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Trunk [trk]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30F9D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Main stem of trees</w:t>
            </w:r>
          </w:p>
        </w:tc>
      </w:tr>
      <w:tr w:rsidR="00AA51B0" w:rsidRPr="00471919" w14:paraId="4D95A06A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026025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Branches 1 [br.1]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F4C79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 xml:space="preserve">Leafless branches with diameter &gt; 3cm </w:t>
            </w:r>
          </w:p>
        </w:tc>
      </w:tr>
      <w:tr w:rsidR="00AA51B0" w:rsidRPr="00471919" w14:paraId="611C99E7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037CFEA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Branches 2 [br.2]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FE978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Leafless branches with diameter between 2 and 3 cm</w:t>
            </w:r>
          </w:p>
        </w:tc>
      </w:tr>
      <w:tr w:rsidR="00AA51B0" w:rsidRPr="00471919" w14:paraId="2528C1D4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491E24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Branches 3 [br.3]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6222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Leafless branches with diameter between 1 and 2 cm</w:t>
            </w:r>
          </w:p>
        </w:tc>
      </w:tr>
      <w:tr w:rsidR="00AA51B0" w:rsidRPr="00471919" w14:paraId="5DE3DEE6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A0BA6F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Twigs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CF4B0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Thin branches with leaves</w:t>
            </w:r>
          </w:p>
        </w:tc>
      </w:tr>
      <w:tr w:rsidR="00AA51B0" w:rsidRPr="00471919" w14:paraId="0161BB88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EB0B07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Leaves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2CD7C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Full grown and young leaves</w:t>
            </w:r>
          </w:p>
        </w:tc>
      </w:tr>
      <w:tr w:rsidR="00AA51B0" w:rsidRPr="00471919" w14:paraId="7DDFAE7E" w14:textId="77777777" w:rsidTr="00BB363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40DB3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Flowers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E55D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Buds, full open and decay flowers</w:t>
            </w:r>
          </w:p>
        </w:tc>
      </w:tr>
      <w:tr w:rsidR="00AA51B0" w:rsidRPr="00471919" w14:paraId="04A21F88" w14:textId="77777777" w:rsidTr="00BB363F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25BB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Maneuvers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21BDF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428E8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51B0" w:rsidRPr="00471919" w14:paraId="5871A05C" w14:textId="77777777" w:rsidTr="00BB363F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05050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Screen [scr]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5F7D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prey is pursued and attacked in a continuous flight.</w:t>
            </w:r>
          </w:p>
        </w:tc>
      </w:tr>
      <w:tr w:rsidR="00AA51B0" w:rsidRPr="00471919" w14:paraId="119AE3AF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21DE8A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Flush-pursue on vegetation [fpv]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303F0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bird flushes the prey from a substrate and chases it.</w:t>
            </w:r>
          </w:p>
        </w:tc>
      </w:tr>
      <w:tr w:rsidR="00AA51B0" w:rsidRPr="00471919" w14:paraId="05F4100E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E1D6DB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Flush-pursue on the ground [fpg]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6E7B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Similar to the previous maneuver, but the bird is foraging on the ground.</w:t>
            </w:r>
          </w:p>
        </w:tc>
      </w:tr>
      <w:tr w:rsidR="00AA51B0" w:rsidRPr="00471919" w14:paraId="00B52841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18A1E1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Sally-outward-hover [soh]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728CD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bird sallies horizontally and hovers at the target substrate at the end of the sally.</w:t>
            </w:r>
          </w:p>
        </w:tc>
      </w:tr>
      <w:tr w:rsidR="00AA51B0" w:rsidRPr="00471919" w14:paraId="19EDFA3C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D5E8C1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Sally-upward-hover [suh]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F1538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bird sallies upwards (angle between 45 and 90°) and hovers at the target substrate at the end of the sally.</w:t>
            </w:r>
          </w:p>
        </w:tc>
      </w:tr>
      <w:tr w:rsidR="00AA51B0" w:rsidRPr="00471919" w14:paraId="7C8968B7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A5910F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Sally-outward-strike [sos]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ACE4E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bird attacks the prey in the air with a direct, horizontal, flight.</w:t>
            </w:r>
          </w:p>
        </w:tc>
      </w:tr>
      <w:tr w:rsidR="00AA51B0" w:rsidRPr="00471919" w14:paraId="7111FB97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832147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Sally-upward-strike [sus]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070BE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bird attacks the prey in the air with an upward flight (45 to 90°).</w:t>
            </w:r>
          </w:p>
        </w:tc>
      </w:tr>
      <w:tr w:rsidR="00AA51B0" w:rsidRPr="00471919" w14:paraId="16036E1F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EDD680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Sally-upward-strike-ground [sug]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D614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Similar to the previous maneuver, but the bird departs from the ground.</w:t>
            </w:r>
          </w:p>
        </w:tc>
      </w:tr>
      <w:tr w:rsidR="00AA51B0" w:rsidRPr="00471919" w14:paraId="557DE837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A45F39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lastRenderedPageBreak/>
              <w:t>Sally-pounce [spo]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5DDE1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bird lands briefly at the end of the sally to attack a prey on a substrate.</w:t>
            </w:r>
          </w:p>
        </w:tc>
      </w:tr>
      <w:tr w:rsidR="00AA51B0" w:rsidRPr="00471919" w14:paraId="44A32565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4259E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Glean on the ground [gog]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FB72E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The bird pick (or attack) prey from the ground or litter.</w:t>
            </w:r>
          </w:p>
        </w:tc>
      </w:tr>
      <w:tr w:rsidR="00AA51B0" w:rsidRPr="00471919" w14:paraId="465A3CCF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1DE6AAF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Glean on vegetation [gov]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F90FF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 xml:space="preserve">The bird pick (or attack) prey from nearby leaves, twigs, branches or trunks. </w:t>
            </w:r>
          </w:p>
        </w:tc>
      </w:tr>
      <w:tr w:rsidR="00AA51B0" w:rsidRPr="00471919" w14:paraId="6BF94D77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DBB78E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Probe in bark [pib]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D7AB6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 xml:space="preserve">The bird inserts its bill into bark cracks, searching for prey. </w:t>
            </w:r>
          </w:p>
        </w:tc>
      </w:tr>
      <w:tr w:rsidR="00AA51B0" w:rsidRPr="00471919" w14:paraId="75D92A81" w14:textId="77777777" w:rsidTr="00BB36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1DB4A8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Probe in rolled leaves [prl]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8768F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Similar to the previous maneuver, but the bird inserts its bill into rolled (usually dead) leaves.</w:t>
            </w:r>
          </w:p>
        </w:tc>
      </w:tr>
      <w:tr w:rsidR="00AA51B0" w:rsidRPr="00471919" w14:paraId="36396531" w14:textId="77777777" w:rsidTr="00BB363F"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409FE9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Hang-upside-down [hud]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4369A9" w14:textId="77777777" w:rsidR="00AA51B0" w:rsidRPr="00471919" w:rsidRDefault="00AA51B0" w:rsidP="00BB363F">
            <w:pPr>
              <w:rPr>
                <w:rFonts w:cstheme="minorHAnsi"/>
                <w:sz w:val="24"/>
                <w:szCs w:val="24"/>
              </w:rPr>
            </w:pPr>
            <w:r w:rsidRPr="00471919">
              <w:rPr>
                <w:rFonts w:cstheme="minorHAnsi"/>
                <w:sz w:val="24"/>
                <w:szCs w:val="24"/>
              </w:rPr>
              <w:t>To hang, belly-up, on the perch to reach a prey</w:t>
            </w:r>
          </w:p>
        </w:tc>
      </w:tr>
    </w:tbl>
    <w:p w14:paraId="52EBD8C0" w14:textId="77777777" w:rsidR="00AA51B0" w:rsidRPr="00471919" w:rsidRDefault="00AA51B0" w:rsidP="00AA51B0">
      <w:pPr>
        <w:spacing w:line="240" w:lineRule="auto"/>
        <w:rPr>
          <w:rFonts w:cstheme="minorHAnsi"/>
          <w:sz w:val="24"/>
          <w:szCs w:val="24"/>
        </w:rPr>
      </w:pPr>
    </w:p>
    <w:p w14:paraId="3CE71052" w14:textId="77777777" w:rsidR="00AA51B0" w:rsidRPr="00471919" w:rsidRDefault="00AA51B0" w:rsidP="00AA51B0">
      <w:pPr>
        <w:spacing w:line="240" w:lineRule="auto"/>
        <w:rPr>
          <w:rFonts w:cstheme="minorHAnsi"/>
          <w:sz w:val="24"/>
          <w:szCs w:val="24"/>
        </w:rPr>
      </w:pPr>
    </w:p>
    <w:p w14:paraId="0769FA13" w14:textId="77777777" w:rsidR="00AA51B0" w:rsidRPr="00471919" w:rsidRDefault="00AA51B0" w:rsidP="00AA51B0">
      <w:pPr>
        <w:spacing w:line="240" w:lineRule="auto"/>
        <w:rPr>
          <w:rFonts w:cstheme="minorHAnsi"/>
          <w:sz w:val="24"/>
          <w:szCs w:val="24"/>
        </w:rPr>
      </w:pPr>
      <w:r w:rsidRPr="00471919">
        <w:rPr>
          <w:rFonts w:cstheme="minorHAnsi"/>
          <w:sz w:val="24"/>
          <w:szCs w:val="24"/>
        </w:rPr>
        <w:br w:type="page"/>
      </w:r>
    </w:p>
    <w:p w14:paraId="07AB6E0B" w14:textId="0E5651A4" w:rsidR="00AA51B0" w:rsidRPr="00471919" w:rsidRDefault="00231080" w:rsidP="00AA51B0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Supplementary </w:t>
      </w:r>
      <w:r w:rsidR="00AA51B0" w:rsidRPr="00471919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able </w:t>
      </w:r>
      <w:r w:rsidR="00AA51B0" w:rsidRPr="00471919">
        <w:rPr>
          <w:rFonts w:cstheme="minorHAnsi"/>
          <w:sz w:val="24"/>
          <w:szCs w:val="24"/>
        </w:rPr>
        <w:t>2</w:t>
      </w:r>
    </w:p>
    <w:p w14:paraId="56A945E1" w14:textId="77777777" w:rsidR="00AA51B0" w:rsidRPr="00471919" w:rsidRDefault="00AA51B0" w:rsidP="00AA51B0">
      <w:pPr>
        <w:spacing w:line="240" w:lineRule="auto"/>
        <w:jc w:val="center"/>
        <w:rPr>
          <w:rFonts w:cstheme="minorHAnsi"/>
          <w:sz w:val="24"/>
          <w:szCs w:val="24"/>
        </w:rPr>
      </w:pPr>
      <w:r w:rsidRPr="00471919">
        <w:rPr>
          <w:rFonts w:cstheme="minorHAnsi"/>
          <w:sz w:val="24"/>
          <w:szCs w:val="24"/>
        </w:rPr>
        <w:t xml:space="preserve">Percentage of time that each species foraged on each substrate. Acronymous for substrates are included in TABLE A1. Species: 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S.p.e.*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Setophaga petechia erithachorides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in absence of migrants; S.p.e. °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S. p. erithachorides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when migrants present; S.pe.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S. petechia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; P.cit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Protonotaria citrea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; P.nov-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Parkesia noveboracensis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; L.pe – </w:t>
      </w:r>
      <w:r w:rsidRPr="00471919">
        <w:rPr>
          <w:rFonts w:cstheme="minorHAnsi"/>
          <w:i/>
          <w:iCs/>
          <w:sz w:val="24"/>
          <w:szCs w:val="24"/>
        </w:rPr>
        <w:t>Leiothlypis peregrina.</w:t>
      </w:r>
    </w:p>
    <w:tbl>
      <w:tblPr>
        <w:tblW w:w="6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6"/>
        <w:gridCol w:w="566"/>
        <w:gridCol w:w="566"/>
        <w:gridCol w:w="566"/>
        <w:gridCol w:w="688"/>
        <w:gridCol w:w="752"/>
        <w:gridCol w:w="652"/>
        <w:gridCol w:w="842"/>
        <w:gridCol w:w="864"/>
      </w:tblGrid>
      <w:tr w:rsidR="00AA51B0" w:rsidRPr="00471919" w14:paraId="54253702" w14:textId="77777777" w:rsidTr="00BB363F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EAB72F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571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8255DF" w14:textId="77777777" w:rsidR="00AA51B0" w:rsidRPr="00471919" w:rsidRDefault="00AA51B0" w:rsidP="00BB363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Substrates</w:t>
            </w:r>
          </w:p>
        </w:tc>
      </w:tr>
      <w:tr w:rsidR="00AA51B0" w:rsidRPr="00471919" w14:paraId="29BA24D8" w14:textId="77777777" w:rsidTr="00BB363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C3041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species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3EFFF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trk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B074A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br.1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39340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br.2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4D145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br.3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D27CB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twigs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C8DE2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leaves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BE9C0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roots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32BA3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ground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DF197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flowers</w:t>
            </w:r>
          </w:p>
        </w:tc>
      </w:tr>
      <w:tr w:rsidR="00AA51B0" w:rsidRPr="00471919" w14:paraId="17E6D67F" w14:textId="77777777" w:rsidTr="00BB363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3707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S.p.e.*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91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0.23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50F4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0.82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778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2.24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776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5.41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64B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41.98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8019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47.45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FAB9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0.47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7B8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1.39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A83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</w:tr>
      <w:tr w:rsidR="00AA51B0" w:rsidRPr="00471919" w14:paraId="449AC1CB" w14:textId="77777777" w:rsidTr="00BB363F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91BE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S.p.er.°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E41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22E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1.31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24F4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1.00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A7D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2.83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BF0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45.78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DE0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45.33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05B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0.63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2BE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2.94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CCC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0.08</w:t>
            </w:r>
          </w:p>
        </w:tc>
      </w:tr>
      <w:tr w:rsidR="00AA51B0" w:rsidRPr="00471919" w14:paraId="4FAF1679" w14:textId="77777777" w:rsidTr="00BB363F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31D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S.pet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054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97E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79C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0.72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E92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2.19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60D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37.58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487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58.08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871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0.69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893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5AB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0.11</w:t>
            </w:r>
          </w:p>
        </w:tc>
      </w:tr>
      <w:tr w:rsidR="00AA51B0" w:rsidRPr="00471919" w14:paraId="4918181B" w14:textId="77777777" w:rsidTr="00BB363F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FC92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P.cit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33F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80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141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1.30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72E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268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F2F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74.85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7D2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9E2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0.77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4B1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0.04</w:t>
            </w:r>
          </w:p>
        </w:tc>
      </w:tr>
      <w:tr w:rsidR="00AA51B0" w:rsidRPr="00471919" w14:paraId="66F1C7D3" w14:textId="77777777" w:rsidTr="00BB363F">
        <w:trPr>
          <w:trHeight w:val="30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957B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P.nov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6914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2.70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CC2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0.27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D9B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0.11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19F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0.26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52E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0.91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7CB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3.73</w:t>
            </w:r>
          </w:p>
        </w:tc>
        <w:tc>
          <w:tcPr>
            <w:tcW w:w="6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9559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0.03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6B9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91.99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890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</w:tr>
      <w:tr w:rsidR="00AA51B0" w:rsidRPr="00471919" w14:paraId="069510E2" w14:textId="77777777" w:rsidTr="00BB363F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BC909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L.per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C40E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1ACB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BAC1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4DBD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CFC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16.08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7EAD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80.53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7EF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C3E8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38BC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2.46</w:t>
            </w:r>
          </w:p>
        </w:tc>
      </w:tr>
    </w:tbl>
    <w:p w14:paraId="1FB55032" w14:textId="77777777" w:rsidR="00AA51B0" w:rsidRPr="00471919" w:rsidRDefault="00AA51B0" w:rsidP="00AA51B0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9D25A72" w14:textId="77777777" w:rsidR="00AA51B0" w:rsidRPr="00471919" w:rsidRDefault="00AA51B0" w:rsidP="00AA51B0">
      <w:pPr>
        <w:spacing w:line="240" w:lineRule="auto"/>
        <w:rPr>
          <w:rFonts w:cstheme="minorHAnsi"/>
          <w:sz w:val="24"/>
          <w:szCs w:val="24"/>
        </w:rPr>
      </w:pPr>
    </w:p>
    <w:p w14:paraId="65E47771" w14:textId="77777777" w:rsidR="00AA51B0" w:rsidRPr="00471919" w:rsidRDefault="00AA51B0" w:rsidP="00AA51B0">
      <w:pPr>
        <w:spacing w:line="240" w:lineRule="auto"/>
        <w:jc w:val="center"/>
        <w:rPr>
          <w:rFonts w:cstheme="minorHAnsi"/>
          <w:sz w:val="24"/>
          <w:szCs w:val="24"/>
        </w:rPr>
      </w:pPr>
      <w:r w:rsidRPr="00471919">
        <w:rPr>
          <w:rFonts w:cstheme="minorHAnsi"/>
          <w:sz w:val="24"/>
          <w:szCs w:val="24"/>
        </w:rPr>
        <w:t>TABLE A3</w:t>
      </w:r>
    </w:p>
    <w:p w14:paraId="08C71474" w14:textId="77777777" w:rsidR="00AA51B0" w:rsidRPr="00471919" w:rsidRDefault="00AA51B0" w:rsidP="00AA51B0">
      <w:pPr>
        <w:spacing w:line="240" w:lineRule="auto"/>
        <w:jc w:val="center"/>
        <w:rPr>
          <w:rFonts w:cstheme="minorHAnsi"/>
          <w:sz w:val="24"/>
          <w:szCs w:val="24"/>
        </w:rPr>
      </w:pPr>
      <w:r w:rsidRPr="00471919">
        <w:rPr>
          <w:rFonts w:cstheme="minorHAnsi"/>
          <w:sz w:val="24"/>
          <w:szCs w:val="24"/>
        </w:rPr>
        <w:t xml:space="preserve">Percentage of time that each species used each foraging maneuver. Acronymous for maneuvers are included in TABLE A1. Species: 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S.p.e.*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Setophaga petechia erithachorides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in absence of migrants; S.p.e. °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S. p. erithachorides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when migrants present; S.pe.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S. petechia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; P.cit –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Protonotaria citrea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; P.nov- </w:t>
      </w:r>
      <w:r w:rsidRPr="00471919">
        <w:rPr>
          <w:rFonts w:eastAsia="Times New Roman" w:cstheme="minorHAnsi"/>
          <w:i/>
          <w:iCs/>
          <w:kern w:val="0"/>
          <w:sz w:val="24"/>
          <w:szCs w:val="24"/>
          <w:lang w:eastAsia="es-ES"/>
          <w14:ligatures w14:val="none"/>
        </w:rPr>
        <w:t>Parkesia noveboracensis</w:t>
      </w:r>
      <w:r w:rsidRPr="00471919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; L.pe – </w:t>
      </w:r>
      <w:r w:rsidRPr="00471919">
        <w:rPr>
          <w:rFonts w:cstheme="minorHAnsi"/>
          <w:i/>
          <w:iCs/>
          <w:sz w:val="24"/>
          <w:szCs w:val="24"/>
        </w:rPr>
        <w:t>Leiothlypis peregrina.</w:t>
      </w:r>
    </w:p>
    <w:tbl>
      <w:tblPr>
        <w:tblW w:w="8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561"/>
        <w:gridCol w:w="561"/>
        <w:gridCol w:w="561"/>
        <w:gridCol w:w="561"/>
        <w:gridCol w:w="561"/>
        <w:gridCol w:w="561"/>
        <w:gridCol w:w="561"/>
        <w:gridCol w:w="636"/>
        <w:gridCol w:w="561"/>
        <w:gridCol w:w="681"/>
        <w:gridCol w:w="681"/>
        <w:gridCol w:w="561"/>
        <w:gridCol w:w="561"/>
        <w:gridCol w:w="561"/>
      </w:tblGrid>
      <w:tr w:rsidR="00AA51B0" w:rsidRPr="00471919" w14:paraId="3AE7ABDE" w14:textId="77777777" w:rsidTr="00BB363F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856EB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7767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B58BA" w14:textId="77777777" w:rsidR="00AA51B0" w:rsidRPr="00471919" w:rsidRDefault="00AA51B0" w:rsidP="00BB363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Maneuvers</w:t>
            </w:r>
          </w:p>
        </w:tc>
      </w:tr>
      <w:tr w:rsidR="00AA51B0" w:rsidRPr="00471919" w14:paraId="02B424F6" w14:textId="77777777" w:rsidTr="00BB363F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92462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Species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5C168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scr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8BA6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fpv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F231D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fpg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F822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soh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62011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suh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925B7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sos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88292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sus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55F182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sug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EDEB1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spo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21DAB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gog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8FC24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gov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DD4CE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pib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D9D9F9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prl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BF7F4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hud</w:t>
            </w:r>
          </w:p>
        </w:tc>
      </w:tr>
      <w:tr w:rsidR="00AA51B0" w:rsidRPr="00471919" w14:paraId="58BC1F86" w14:textId="77777777" w:rsidTr="00BB363F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9243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S.p.e.*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E43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F49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7F9D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23F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8E6C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C15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1279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E81D4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6A0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10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1.24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08D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96.60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2E9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D4FD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0.90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FED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0.36</w:t>
            </w:r>
          </w:p>
        </w:tc>
      </w:tr>
      <w:tr w:rsidR="00AA51B0" w:rsidRPr="00471919" w14:paraId="4513B86A" w14:textId="77777777" w:rsidTr="00BB363F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31F8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S.p.e. °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CC3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1AA4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0FC6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4B7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0A9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0.41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7AA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920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720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918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3AA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4.69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7C4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92.86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691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99BE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0.69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AD0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0.54</w:t>
            </w:r>
          </w:p>
        </w:tc>
      </w:tr>
      <w:tr w:rsidR="00AA51B0" w:rsidRPr="00471919" w14:paraId="60823405" w14:textId="77777777" w:rsidTr="00BB363F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9074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S.pe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72B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397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E5EC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7B2D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104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CCE8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AFB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B7AE8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136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A0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0.59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BCAB8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97.59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B3B6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70FC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1EA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0.32</w:t>
            </w:r>
          </w:p>
        </w:tc>
      </w:tr>
      <w:tr w:rsidR="00AA51B0" w:rsidRPr="00471919" w14:paraId="172C5BF4" w14:textId="77777777" w:rsidTr="00BB363F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97BA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P.cit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BAB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2FE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FB63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150C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3D6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B225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EB3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6D08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BF0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167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2.25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17F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92.94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44A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8FBF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0.92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7BE4D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0.37</w:t>
            </w:r>
          </w:p>
        </w:tc>
      </w:tr>
      <w:tr w:rsidR="00AA51B0" w:rsidRPr="00471919" w14:paraId="55EF28B7" w14:textId="77777777" w:rsidTr="00BB363F">
        <w:trPr>
          <w:trHeight w:val="300"/>
        </w:trPr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5A2A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P.nov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AB6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0.42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72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EDBE3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50E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0.42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80FC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14B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0.11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BFA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0.07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BABB7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8EC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5E8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89.61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602CE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9.36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F3BD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3E4E4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4D277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</w:tr>
      <w:tr w:rsidR="00AA51B0" w:rsidRPr="00471919" w14:paraId="19AF90E5" w14:textId="77777777" w:rsidTr="00BB363F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9C853" w14:textId="77777777" w:rsidR="00AA51B0" w:rsidRPr="00471919" w:rsidRDefault="00AA51B0" w:rsidP="00BB363F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kern w:val="0"/>
                <w:sz w:val="24"/>
                <w:szCs w:val="24"/>
                <w:lang w:val="es-ES" w:eastAsia="es-ES"/>
                <w14:ligatures w14:val="none"/>
              </w:rPr>
              <w:t>L.pe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6FBCE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6FE0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BFB42FA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5701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B467B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BA1D7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CA80D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47A04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C044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C0A41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4234E2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92.72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390B3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03119F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6.62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C7DE80" w14:textId="77777777" w:rsidR="00AA51B0" w:rsidRPr="00471919" w:rsidRDefault="00AA51B0" w:rsidP="00BB36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7191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0.28</w:t>
            </w:r>
          </w:p>
        </w:tc>
      </w:tr>
    </w:tbl>
    <w:p w14:paraId="67539AD8" w14:textId="77777777" w:rsidR="0099294D" w:rsidRDefault="0099294D"/>
    <w:sectPr w:rsidR="0099294D" w:rsidSect="00AA51B0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606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9C20A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5DCC4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B0"/>
    <w:rsid w:val="00231080"/>
    <w:rsid w:val="005B18EA"/>
    <w:rsid w:val="00897909"/>
    <w:rsid w:val="0099294D"/>
    <w:rsid w:val="00A75AA2"/>
    <w:rsid w:val="00A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2C40A"/>
  <w15:chartTrackingRefBased/>
  <w15:docId w15:val="{C6AC8CC7-FCDD-4AC0-935D-E407D97B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B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1B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1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1B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1B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1B0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1B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1B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1B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1B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5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1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A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1B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A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1B0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A51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A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1B0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AA51B0"/>
  </w:style>
  <w:style w:type="character" w:styleId="Hyperlink">
    <w:name w:val="Hyperlink"/>
    <w:basedOn w:val="DefaultParagraphFont"/>
    <w:uiPriority w:val="99"/>
    <w:unhideWhenUsed/>
    <w:rsid w:val="00AA5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gilbert.barran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702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3</cp:revision>
  <dcterms:created xsi:type="dcterms:W3CDTF">2025-01-13T00:08:00Z</dcterms:created>
  <dcterms:modified xsi:type="dcterms:W3CDTF">2025-01-13T00:23:00Z</dcterms:modified>
</cp:coreProperties>
</file>